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1805C1" w14:textId="77777777" w:rsidR="005C2634" w:rsidRPr="005002EA" w:rsidRDefault="005C2634" w:rsidP="005C2634">
      <w:pPr>
        <w:spacing w:line="360" w:lineRule="auto"/>
        <w:jc w:val="center"/>
        <w:rPr>
          <w:rFonts w:ascii="Arial" w:hAnsi="Arial" w:cs="Arial"/>
          <w:b/>
        </w:rPr>
      </w:pPr>
      <w:r w:rsidRPr="005002EA">
        <w:rPr>
          <w:rFonts w:ascii="Arial" w:hAnsi="Arial" w:cs="Arial"/>
          <w:b/>
        </w:rPr>
        <w:t>DECISÃO DA COMISSÃO PERMANENTE DE LICITAÇÃO</w:t>
      </w:r>
    </w:p>
    <w:p w14:paraId="1CA16727" w14:textId="77777777" w:rsidR="005C2634" w:rsidRPr="005002EA" w:rsidRDefault="005C2634" w:rsidP="005C2634">
      <w:pPr>
        <w:spacing w:line="360" w:lineRule="auto"/>
        <w:jc w:val="center"/>
        <w:rPr>
          <w:rFonts w:ascii="Arial" w:hAnsi="Arial" w:cs="Arial"/>
          <w:b/>
        </w:rPr>
      </w:pPr>
      <w:r w:rsidRPr="005002EA">
        <w:rPr>
          <w:rFonts w:ascii="Arial" w:hAnsi="Arial" w:cs="Arial"/>
          <w:b/>
        </w:rPr>
        <w:t xml:space="preserve">RESPOSTA </w:t>
      </w:r>
      <w:r w:rsidR="0015797C">
        <w:rPr>
          <w:rFonts w:ascii="Arial" w:hAnsi="Arial" w:cs="Arial"/>
          <w:b/>
        </w:rPr>
        <w:t xml:space="preserve">AO PEDIDO DE </w:t>
      </w:r>
      <w:r w:rsidR="00E93E14">
        <w:rPr>
          <w:rFonts w:ascii="Arial" w:hAnsi="Arial" w:cs="Arial"/>
          <w:b/>
        </w:rPr>
        <w:t>REEQUILÍBRIO ECONÔMICO-FINANCEIRO</w:t>
      </w:r>
    </w:p>
    <w:p w14:paraId="76FEF2D2" w14:textId="77777777" w:rsidR="005C2634" w:rsidRPr="005002EA" w:rsidRDefault="005C2634" w:rsidP="005C2634">
      <w:pPr>
        <w:spacing w:line="360" w:lineRule="auto"/>
        <w:ind w:firstLine="708"/>
        <w:jc w:val="both"/>
        <w:rPr>
          <w:rFonts w:ascii="Arial" w:hAnsi="Arial" w:cs="Arial"/>
        </w:rPr>
      </w:pPr>
    </w:p>
    <w:p w14:paraId="21C78970" w14:textId="4B7C8FCA" w:rsidR="007621D4" w:rsidRPr="005002EA" w:rsidRDefault="007621D4" w:rsidP="007621D4">
      <w:pPr>
        <w:spacing w:line="360" w:lineRule="auto"/>
        <w:jc w:val="both"/>
        <w:rPr>
          <w:rFonts w:ascii="Arial" w:hAnsi="Arial" w:cs="Arial"/>
          <w:b/>
        </w:rPr>
      </w:pPr>
      <w:r w:rsidRPr="005002EA">
        <w:rPr>
          <w:rFonts w:ascii="Arial" w:hAnsi="Arial" w:cs="Arial"/>
          <w:b/>
        </w:rPr>
        <w:t>Processo</w:t>
      </w:r>
      <w:r>
        <w:rPr>
          <w:rFonts w:ascii="Arial" w:hAnsi="Arial" w:cs="Arial"/>
          <w:b/>
        </w:rPr>
        <w:t xml:space="preserve"> Licitatório</w:t>
      </w:r>
      <w:r w:rsidRPr="005002EA">
        <w:rPr>
          <w:rFonts w:ascii="Arial" w:hAnsi="Arial" w:cs="Arial"/>
          <w:b/>
        </w:rPr>
        <w:t>: 0</w:t>
      </w:r>
      <w:r w:rsidR="00CE6B4A">
        <w:rPr>
          <w:rFonts w:ascii="Arial" w:hAnsi="Arial" w:cs="Arial"/>
          <w:b/>
        </w:rPr>
        <w:t>062</w:t>
      </w:r>
      <w:r>
        <w:rPr>
          <w:rFonts w:ascii="Arial" w:hAnsi="Arial" w:cs="Arial"/>
          <w:b/>
        </w:rPr>
        <w:t>/2021</w:t>
      </w:r>
    </w:p>
    <w:p w14:paraId="7EF05E4F" w14:textId="14155971" w:rsidR="007621D4" w:rsidRPr="005002EA" w:rsidRDefault="007621D4" w:rsidP="007621D4">
      <w:pPr>
        <w:spacing w:line="360" w:lineRule="auto"/>
        <w:jc w:val="both"/>
        <w:rPr>
          <w:rFonts w:ascii="Arial" w:hAnsi="Arial" w:cs="Arial"/>
          <w:b/>
        </w:rPr>
      </w:pPr>
      <w:r>
        <w:rPr>
          <w:rFonts w:ascii="Arial" w:hAnsi="Arial" w:cs="Arial"/>
          <w:b/>
        </w:rPr>
        <w:t>Pregão Presencial</w:t>
      </w:r>
      <w:r w:rsidRPr="005002EA">
        <w:rPr>
          <w:rFonts w:ascii="Arial" w:hAnsi="Arial" w:cs="Arial"/>
          <w:b/>
        </w:rPr>
        <w:t xml:space="preserve">: </w:t>
      </w:r>
      <w:r w:rsidR="00CE6B4A">
        <w:rPr>
          <w:rFonts w:ascii="Arial" w:hAnsi="Arial" w:cs="Arial"/>
          <w:b/>
        </w:rPr>
        <w:t>0039</w:t>
      </w:r>
      <w:r>
        <w:rPr>
          <w:rFonts w:ascii="Arial" w:hAnsi="Arial" w:cs="Arial"/>
          <w:b/>
        </w:rPr>
        <w:t>/2021</w:t>
      </w:r>
    </w:p>
    <w:p w14:paraId="665EE79F" w14:textId="4CFF73CF" w:rsidR="007621D4" w:rsidRPr="005002EA" w:rsidRDefault="007621D4" w:rsidP="007621D4">
      <w:pPr>
        <w:spacing w:line="360" w:lineRule="auto"/>
        <w:jc w:val="both"/>
        <w:rPr>
          <w:rFonts w:ascii="Arial" w:hAnsi="Arial" w:cs="Arial"/>
          <w:b/>
        </w:rPr>
      </w:pPr>
      <w:r>
        <w:rPr>
          <w:rFonts w:ascii="Arial" w:hAnsi="Arial" w:cs="Arial"/>
          <w:b/>
        </w:rPr>
        <w:t>Requerente</w:t>
      </w:r>
      <w:r w:rsidRPr="005002EA">
        <w:rPr>
          <w:rFonts w:ascii="Arial" w:hAnsi="Arial" w:cs="Arial"/>
          <w:b/>
        </w:rPr>
        <w:t xml:space="preserve">: </w:t>
      </w:r>
      <w:r w:rsidR="00E771DD" w:rsidRPr="00E771DD">
        <w:rPr>
          <w:rFonts w:ascii="Arial" w:hAnsi="Arial" w:cs="Arial"/>
          <w:b/>
        </w:rPr>
        <w:t>ACACIA COMERCIO DE MEDICAMENTOS LTDA</w:t>
      </w:r>
    </w:p>
    <w:p w14:paraId="1713907B" w14:textId="77777777" w:rsidR="005C2634" w:rsidRPr="005002EA" w:rsidRDefault="005C2634" w:rsidP="005C2634">
      <w:pPr>
        <w:spacing w:line="360" w:lineRule="auto"/>
        <w:ind w:firstLine="708"/>
        <w:jc w:val="both"/>
        <w:rPr>
          <w:rFonts w:ascii="Arial" w:hAnsi="Arial" w:cs="Arial"/>
        </w:rPr>
      </w:pPr>
    </w:p>
    <w:p w14:paraId="649A73BB" w14:textId="77777777" w:rsidR="005C2634" w:rsidRPr="005002EA" w:rsidRDefault="005C2634" w:rsidP="005C2634">
      <w:pPr>
        <w:spacing w:line="360" w:lineRule="auto"/>
        <w:ind w:firstLine="708"/>
        <w:jc w:val="both"/>
        <w:rPr>
          <w:rFonts w:ascii="Arial" w:hAnsi="Arial" w:cs="Arial"/>
        </w:rPr>
      </w:pPr>
      <w:r w:rsidRPr="005002EA">
        <w:rPr>
          <w:rFonts w:ascii="Arial" w:hAnsi="Arial" w:cs="Arial"/>
        </w:rPr>
        <w:t>Vistos,</w:t>
      </w:r>
    </w:p>
    <w:p w14:paraId="1456BDDB" w14:textId="77777777" w:rsidR="005C2634" w:rsidRPr="005002EA" w:rsidRDefault="005C2634" w:rsidP="005C2634">
      <w:pPr>
        <w:spacing w:line="360" w:lineRule="auto"/>
        <w:ind w:firstLine="708"/>
        <w:jc w:val="both"/>
        <w:rPr>
          <w:rFonts w:ascii="Arial" w:hAnsi="Arial" w:cs="Arial"/>
        </w:rPr>
      </w:pPr>
    </w:p>
    <w:p w14:paraId="57973CDB" w14:textId="635B0E0C" w:rsidR="00E771DD" w:rsidRDefault="007621D4" w:rsidP="00E771DD">
      <w:pPr>
        <w:spacing w:line="360" w:lineRule="auto"/>
        <w:jc w:val="both"/>
        <w:rPr>
          <w:rFonts w:ascii="Arial" w:hAnsi="Arial" w:cs="Arial"/>
        </w:rPr>
      </w:pPr>
      <w:r w:rsidRPr="00367C22">
        <w:rPr>
          <w:rFonts w:ascii="Arial" w:hAnsi="Arial" w:cs="Arial"/>
        </w:rPr>
        <w:t xml:space="preserve">Trata-se o presente julgamento de requerimento de pedido de </w:t>
      </w:r>
      <w:r w:rsidRPr="00367C22">
        <w:rPr>
          <w:rFonts w:ascii="Arial" w:hAnsi="Arial" w:cs="Arial"/>
          <w:b/>
        </w:rPr>
        <w:t>REEQUILÍBRIO ECONÔMICO-FINANCEIRO</w:t>
      </w:r>
      <w:r w:rsidR="001134C6" w:rsidRPr="00367C22">
        <w:rPr>
          <w:rFonts w:ascii="Arial" w:hAnsi="Arial" w:cs="Arial"/>
        </w:rPr>
        <w:t xml:space="preserve"> do item nº</w:t>
      </w:r>
      <w:r w:rsidR="00CE6B4A">
        <w:rPr>
          <w:rFonts w:ascii="Arial" w:hAnsi="Arial" w:cs="Arial"/>
        </w:rPr>
        <w:t>175</w:t>
      </w:r>
      <w:r w:rsidR="00C67BA3" w:rsidRPr="00367C22">
        <w:rPr>
          <w:rFonts w:ascii="Arial" w:hAnsi="Arial" w:cs="Arial"/>
        </w:rPr>
        <w:t xml:space="preserve"> </w:t>
      </w:r>
      <w:r w:rsidRPr="00367C22">
        <w:rPr>
          <w:rFonts w:ascii="Arial" w:hAnsi="Arial" w:cs="Arial"/>
        </w:rPr>
        <w:t xml:space="preserve">interposto pela empresa </w:t>
      </w:r>
      <w:r w:rsidR="00E771DD" w:rsidRPr="00E771DD">
        <w:rPr>
          <w:rFonts w:ascii="Arial" w:hAnsi="Arial" w:cs="Arial"/>
          <w:b/>
        </w:rPr>
        <w:t>ACACIA COMERCIO DE MEDICAMENTOS LTDA</w:t>
      </w:r>
      <w:r w:rsidRPr="00367C22">
        <w:rPr>
          <w:rFonts w:ascii="Arial" w:hAnsi="Arial" w:cs="Arial"/>
          <w:b/>
        </w:rPr>
        <w:t xml:space="preserve">, </w:t>
      </w:r>
      <w:r w:rsidR="00CE6B4A">
        <w:rPr>
          <w:rFonts w:ascii="Arial" w:hAnsi="Arial" w:cs="Arial"/>
          <w:sz w:val="26"/>
        </w:rPr>
        <w:t>referentes ao Pregão nº 0039</w:t>
      </w:r>
      <w:r w:rsidRPr="00367C22">
        <w:rPr>
          <w:rFonts w:ascii="Arial" w:hAnsi="Arial" w:cs="Arial"/>
          <w:sz w:val="26"/>
        </w:rPr>
        <w:t>/2021</w:t>
      </w:r>
      <w:r w:rsidRPr="00367C22">
        <w:rPr>
          <w:rFonts w:ascii="Arial" w:hAnsi="Arial" w:cs="Arial"/>
        </w:rPr>
        <w:t>, constantes nos autos do Proces</w:t>
      </w:r>
      <w:r w:rsidR="002370D6" w:rsidRPr="00367C22">
        <w:rPr>
          <w:rFonts w:ascii="Arial" w:hAnsi="Arial" w:cs="Arial"/>
        </w:rPr>
        <w:t xml:space="preserve">so em epígrafe, cujo objeto é a </w:t>
      </w:r>
      <w:r w:rsidR="00CE6B4A" w:rsidRPr="00CE6B4A">
        <w:rPr>
          <w:rFonts w:ascii="Arial" w:hAnsi="Arial" w:cs="Arial"/>
        </w:rPr>
        <w:t>AQUISIÇÃO DE MEDICAMENTOS PARA ATENDER A DEMANDA DO PRONTO ATENDIMENTO MUNICIPAL, FARMÁCIA E UNIDADES BÁSICAS DE SAÚDE DO MUNICÍPIO DE PERDIGÃO</w:t>
      </w:r>
      <w:r w:rsidR="00CE6B4A">
        <w:rPr>
          <w:rFonts w:ascii="Arial" w:hAnsi="Arial" w:cs="Arial"/>
        </w:rPr>
        <w:t xml:space="preserve">. </w:t>
      </w:r>
    </w:p>
    <w:p w14:paraId="7044846D" w14:textId="77777777" w:rsidR="00CE6B4A" w:rsidRPr="00CE6B4A" w:rsidRDefault="00CE6B4A" w:rsidP="00E771DD">
      <w:pPr>
        <w:spacing w:line="360" w:lineRule="auto"/>
        <w:jc w:val="both"/>
        <w:rPr>
          <w:rFonts w:ascii="Arial" w:hAnsi="Arial" w:cs="Arial"/>
          <w:b/>
        </w:rPr>
      </w:pPr>
    </w:p>
    <w:p w14:paraId="232BABEC" w14:textId="46FF9F83" w:rsidR="005C2634" w:rsidRPr="00AC3DFE" w:rsidRDefault="005C2634" w:rsidP="00E771DD">
      <w:pPr>
        <w:spacing w:line="360" w:lineRule="auto"/>
        <w:jc w:val="both"/>
        <w:rPr>
          <w:rFonts w:ascii="Arial" w:hAnsi="Arial" w:cs="Arial"/>
          <w:b/>
        </w:rPr>
      </w:pPr>
      <w:r w:rsidRPr="00AC3DFE">
        <w:rPr>
          <w:rFonts w:ascii="Arial" w:hAnsi="Arial" w:cs="Arial"/>
          <w:b/>
        </w:rPr>
        <w:t>I - RELATÓRIO</w:t>
      </w:r>
    </w:p>
    <w:p w14:paraId="5B62F6DA" w14:textId="2CAD59A4" w:rsidR="007376F8" w:rsidRDefault="007376F8" w:rsidP="00EB5631">
      <w:pPr>
        <w:pStyle w:val="Padro"/>
        <w:spacing w:before="80" w:after="80" w:line="360" w:lineRule="auto"/>
        <w:ind w:firstLine="708"/>
        <w:jc w:val="both"/>
        <w:rPr>
          <w:rFonts w:ascii="Arial" w:hAnsi="Arial" w:cs="Arial"/>
        </w:rPr>
      </w:pPr>
      <w:r>
        <w:rPr>
          <w:rFonts w:ascii="Arial" w:hAnsi="Arial" w:cs="Arial"/>
          <w:szCs w:val="24"/>
        </w:rPr>
        <w:t xml:space="preserve">A proponente participou do certame licitatório na modalidade de pregão presencial, através do sistema de registro de preços para fornecimento de medicamentos e ou materiais médicos hospitalares, sagrando – se vencedora para o fornecimento de vários itens, dentre os quais se destaca –se o item 175 </w:t>
      </w:r>
      <w:r w:rsidRPr="007376F8">
        <w:rPr>
          <w:rFonts w:ascii="Arial" w:hAnsi="Arial" w:cs="Arial"/>
          <w:szCs w:val="24"/>
        </w:rPr>
        <w:t xml:space="preserve">- </w:t>
      </w:r>
      <w:r w:rsidRPr="007376F8">
        <w:rPr>
          <w:rFonts w:ascii="Arial" w:hAnsi="Arial" w:cs="Arial"/>
        </w:rPr>
        <w:t>GLICOSE HIPERTONICA 50% AMPOLA 10 ML</w:t>
      </w:r>
      <w:r>
        <w:rPr>
          <w:rFonts w:ascii="Arial" w:hAnsi="Arial" w:cs="Arial"/>
        </w:rPr>
        <w:t>.</w:t>
      </w:r>
    </w:p>
    <w:p w14:paraId="520BE06B" w14:textId="0053457A" w:rsidR="007376F8" w:rsidRPr="007376F8" w:rsidRDefault="007376F8" w:rsidP="00EB5631">
      <w:pPr>
        <w:pStyle w:val="Padro"/>
        <w:spacing w:before="80" w:after="80" w:line="360" w:lineRule="auto"/>
        <w:ind w:firstLine="708"/>
        <w:jc w:val="both"/>
        <w:rPr>
          <w:rFonts w:ascii="Arial" w:hAnsi="Arial" w:cs="Arial"/>
          <w:szCs w:val="24"/>
        </w:rPr>
      </w:pPr>
      <w:r>
        <w:rPr>
          <w:rFonts w:ascii="Arial" w:hAnsi="Arial" w:cs="Arial"/>
        </w:rPr>
        <w:t>Ocorre que, os valores orçados à época do item acima adjudicado, em razão da superveniência de fatos imprevisíveis e ainda que previsíveis mas de consequência incalculáveis</w:t>
      </w:r>
      <w:r w:rsidR="00853CB9">
        <w:rPr>
          <w:rFonts w:ascii="Arial" w:hAnsi="Arial" w:cs="Arial"/>
        </w:rPr>
        <w:t xml:space="preserve">, que não podemos evitar, tiveram seus custos impactados elevando sobremaneira seus preços, que foi repassado pelos fabricantes, que como tal, resultam no desequilíbrio econômico- financeiro desta relação jurídica, impondo a proponente riscos face a eminentes prejuízos </w:t>
      </w:r>
      <w:r w:rsidR="0096110D">
        <w:rPr>
          <w:rFonts w:ascii="Arial" w:hAnsi="Arial" w:cs="Arial"/>
        </w:rPr>
        <w:t>na execução do instrumento ajustado.</w:t>
      </w:r>
    </w:p>
    <w:p w14:paraId="17F6C094" w14:textId="77777777" w:rsidR="002528F3" w:rsidRDefault="002528F3" w:rsidP="00EB5631">
      <w:pPr>
        <w:pStyle w:val="Padro"/>
        <w:spacing w:before="80" w:after="80" w:line="360" w:lineRule="auto"/>
        <w:ind w:firstLine="708"/>
        <w:jc w:val="both"/>
        <w:rPr>
          <w:rFonts w:ascii="Arial" w:hAnsi="Arial" w:cs="Arial"/>
          <w:szCs w:val="24"/>
        </w:rPr>
      </w:pPr>
      <w:r>
        <w:rPr>
          <w:rFonts w:ascii="Arial" w:hAnsi="Arial" w:cs="Arial"/>
          <w:szCs w:val="24"/>
        </w:rPr>
        <w:t xml:space="preserve">Devido a pandemia que se instalou mundialmente, a empresa alega que não está conseguindo adquirir medicamentos bem como muitos dos materiais hospitalares </w:t>
      </w:r>
      <w:r>
        <w:rPr>
          <w:rFonts w:ascii="Arial" w:hAnsi="Arial" w:cs="Arial"/>
          <w:szCs w:val="24"/>
        </w:rPr>
        <w:lastRenderedPageBreak/>
        <w:t>para fechamento de empenhos, ao qual se encontra na empresa, pois os fornecedores estão enviando comunicação de falta a todo mundo.</w:t>
      </w:r>
    </w:p>
    <w:p w14:paraId="5154307F" w14:textId="159D0648" w:rsidR="003114E7" w:rsidRDefault="001A4513" w:rsidP="0096110D">
      <w:pPr>
        <w:pStyle w:val="Padro"/>
        <w:spacing w:before="80" w:after="80" w:line="360" w:lineRule="auto"/>
        <w:ind w:firstLine="708"/>
        <w:jc w:val="both"/>
        <w:rPr>
          <w:rFonts w:ascii="Arial" w:hAnsi="Arial" w:cs="Arial"/>
          <w:szCs w:val="24"/>
        </w:rPr>
      </w:pPr>
      <w:r>
        <w:rPr>
          <w:rFonts w:ascii="Arial" w:hAnsi="Arial" w:cs="Arial"/>
          <w:szCs w:val="24"/>
        </w:rPr>
        <w:t>Apesar do agravamento da crise, até o presente momento, a empresa cumpriu de forma honrosa as obrigações presentes no contrato. Infelizmente, atualmente não estão conseguindo manter os valores praticados devido ao atual cenário econômico, alta do dólar, baixa nos estoques e dificuldades nas logísticas e importações. E devido esse cenário, os preços são im</w:t>
      </w:r>
      <w:r w:rsidR="003114E7">
        <w:rPr>
          <w:rFonts w:ascii="Arial" w:hAnsi="Arial" w:cs="Arial"/>
          <w:szCs w:val="24"/>
        </w:rPr>
        <w:t>pactados diretamente, fato esse</w:t>
      </w:r>
      <w:r>
        <w:rPr>
          <w:rFonts w:ascii="Arial" w:hAnsi="Arial" w:cs="Arial"/>
          <w:szCs w:val="24"/>
        </w:rPr>
        <w:t>,</w:t>
      </w:r>
      <w:r w:rsidR="003114E7">
        <w:rPr>
          <w:rFonts w:ascii="Arial" w:hAnsi="Arial" w:cs="Arial"/>
          <w:szCs w:val="24"/>
        </w:rPr>
        <w:t xml:space="preserve"> </w:t>
      </w:r>
      <w:r>
        <w:rPr>
          <w:rFonts w:ascii="Arial" w:hAnsi="Arial" w:cs="Arial"/>
          <w:szCs w:val="24"/>
        </w:rPr>
        <w:t xml:space="preserve">que impacta diretamente nos custos dos equipamentos e respectivos insumos para </w:t>
      </w:r>
      <w:r w:rsidR="00EA6829">
        <w:rPr>
          <w:rFonts w:ascii="Arial" w:hAnsi="Arial" w:cs="Arial"/>
          <w:szCs w:val="24"/>
        </w:rPr>
        <w:t>sua produção de origem</w:t>
      </w:r>
      <w:r w:rsidR="003114E7">
        <w:rPr>
          <w:rFonts w:ascii="Arial" w:hAnsi="Arial" w:cs="Arial"/>
          <w:szCs w:val="24"/>
        </w:rPr>
        <w:t xml:space="preserve"> internacional.</w:t>
      </w:r>
    </w:p>
    <w:p w14:paraId="0FAA417F" w14:textId="77777777" w:rsidR="005C2634" w:rsidRPr="00AC3DFE" w:rsidRDefault="005C2634" w:rsidP="00530680">
      <w:pPr>
        <w:pStyle w:val="Padro"/>
        <w:spacing w:before="80" w:after="80" w:line="360" w:lineRule="auto"/>
        <w:ind w:firstLine="708"/>
        <w:jc w:val="both"/>
        <w:rPr>
          <w:rFonts w:ascii="Arial" w:hAnsi="Arial" w:cs="Arial"/>
          <w:sz w:val="26"/>
          <w:szCs w:val="26"/>
        </w:rPr>
      </w:pPr>
      <w:r w:rsidRPr="00AC3DFE">
        <w:rPr>
          <w:rFonts w:ascii="Arial" w:hAnsi="Arial" w:cs="Arial"/>
          <w:szCs w:val="24"/>
        </w:rPr>
        <w:t>É a síntese dos fatos.</w:t>
      </w:r>
    </w:p>
    <w:p w14:paraId="119F6128" w14:textId="77777777" w:rsidR="005C2634" w:rsidRPr="00AC3DFE" w:rsidRDefault="005C2634" w:rsidP="005C2634">
      <w:pPr>
        <w:pStyle w:val="Padro"/>
        <w:spacing w:before="80" w:after="80"/>
        <w:ind w:firstLine="708"/>
        <w:jc w:val="both"/>
        <w:rPr>
          <w:rFonts w:ascii="Arial" w:hAnsi="Arial" w:cs="Arial"/>
          <w:szCs w:val="24"/>
        </w:rPr>
      </w:pPr>
    </w:p>
    <w:p w14:paraId="3164E18E" w14:textId="062DCDA5" w:rsidR="00151E1F" w:rsidRPr="00151E1F" w:rsidRDefault="005C2634" w:rsidP="00151E1F">
      <w:pPr>
        <w:pStyle w:val="Padro"/>
        <w:spacing w:before="80" w:after="80"/>
        <w:jc w:val="both"/>
        <w:rPr>
          <w:rFonts w:ascii="Arial" w:hAnsi="Arial" w:cs="Arial"/>
          <w:b/>
          <w:szCs w:val="24"/>
        </w:rPr>
      </w:pPr>
      <w:r w:rsidRPr="00855710">
        <w:rPr>
          <w:rFonts w:ascii="Arial" w:hAnsi="Arial" w:cs="Arial"/>
          <w:b/>
          <w:szCs w:val="24"/>
        </w:rPr>
        <w:t>I</w:t>
      </w:r>
      <w:r>
        <w:rPr>
          <w:rFonts w:ascii="Arial" w:hAnsi="Arial" w:cs="Arial"/>
          <w:b/>
          <w:szCs w:val="24"/>
        </w:rPr>
        <w:t>I</w:t>
      </w:r>
      <w:r w:rsidRPr="00855710">
        <w:rPr>
          <w:rFonts w:ascii="Arial" w:hAnsi="Arial" w:cs="Arial"/>
          <w:b/>
          <w:szCs w:val="24"/>
        </w:rPr>
        <w:t xml:space="preserve"> – DA ANÁLISE</w:t>
      </w:r>
    </w:p>
    <w:p w14:paraId="08E755C9" w14:textId="010D435D" w:rsidR="009974C8" w:rsidRDefault="005C2634" w:rsidP="00151E1F">
      <w:pPr>
        <w:pStyle w:val="Padro"/>
        <w:spacing w:before="240" w:line="360" w:lineRule="auto"/>
        <w:ind w:firstLine="708"/>
        <w:jc w:val="both"/>
        <w:rPr>
          <w:rFonts w:ascii="Arial" w:hAnsi="Arial" w:cs="Arial"/>
        </w:rPr>
      </w:pPr>
      <w:r>
        <w:rPr>
          <w:rFonts w:ascii="Arial" w:hAnsi="Arial" w:cs="Arial"/>
        </w:rPr>
        <w:t xml:space="preserve">A empresa recorrente </w:t>
      </w:r>
      <w:r w:rsidR="00221994">
        <w:rPr>
          <w:rFonts w:ascii="Arial" w:hAnsi="Arial" w:cs="Arial"/>
        </w:rPr>
        <w:t>anexa como forma de sustentar</w:t>
      </w:r>
      <w:r w:rsidR="009974C8">
        <w:rPr>
          <w:rFonts w:ascii="Arial" w:hAnsi="Arial" w:cs="Arial"/>
        </w:rPr>
        <w:t xml:space="preserve"> seus fundamentos</w:t>
      </w:r>
      <w:r w:rsidR="007532D9">
        <w:rPr>
          <w:rFonts w:ascii="Arial" w:hAnsi="Arial" w:cs="Arial"/>
        </w:rPr>
        <w:t xml:space="preserve"> </w:t>
      </w:r>
      <w:proofErr w:type="spellStart"/>
      <w:r w:rsidR="007532D9">
        <w:rPr>
          <w:rFonts w:ascii="Arial" w:hAnsi="Arial" w:cs="Arial"/>
        </w:rPr>
        <w:t>DANFE’s</w:t>
      </w:r>
      <w:proofErr w:type="spellEnd"/>
      <w:r w:rsidR="007532D9">
        <w:rPr>
          <w:rFonts w:ascii="Arial" w:hAnsi="Arial" w:cs="Arial"/>
        </w:rPr>
        <w:t xml:space="preserve"> que dem</w:t>
      </w:r>
      <w:r w:rsidR="00AC3DFE">
        <w:rPr>
          <w:rFonts w:ascii="Arial" w:hAnsi="Arial" w:cs="Arial"/>
        </w:rPr>
        <w:t xml:space="preserve">onstram o </w:t>
      </w:r>
      <w:r w:rsidR="003114E7">
        <w:rPr>
          <w:rFonts w:ascii="Arial" w:hAnsi="Arial" w:cs="Arial"/>
        </w:rPr>
        <w:t>aumento dos custos do item licitado</w:t>
      </w:r>
      <w:r w:rsidR="003730C0">
        <w:rPr>
          <w:rFonts w:ascii="Arial" w:hAnsi="Arial" w:cs="Arial"/>
        </w:rPr>
        <w:t xml:space="preserve">, de forma que </w:t>
      </w:r>
      <w:r w:rsidR="00221994">
        <w:rPr>
          <w:rFonts w:ascii="Arial" w:hAnsi="Arial" w:cs="Arial"/>
        </w:rPr>
        <w:t>só restou</w:t>
      </w:r>
      <w:r w:rsidR="00725116">
        <w:rPr>
          <w:rFonts w:ascii="Arial" w:hAnsi="Arial" w:cs="Arial"/>
        </w:rPr>
        <w:t xml:space="preserve"> à empresa requerer o seu </w:t>
      </w:r>
      <w:r w:rsidR="00127689">
        <w:rPr>
          <w:rFonts w:ascii="Arial" w:hAnsi="Arial" w:cs="Arial"/>
        </w:rPr>
        <w:t>reequilíbrio.</w:t>
      </w:r>
    </w:p>
    <w:p w14:paraId="74DDF7A3" w14:textId="1E45F7E8" w:rsidR="004A0081" w:rsidRDefault="004A0081" w:rsidP="00D82D70">
      <w:pPr>
        <w:pStyle w:val="Padro"/>
        <w:spacing w:line="360" w:lineRule="auto"/>
        <w:ind w:firstLine="708"/>
        <w:jc w:val="both"/>
        <w:rPr>
          <w:rFonts w:ascii="Arial" w:hAnsi="Arial" w:cs="Arial"/>
        </w:rPr>
      </w:pPr>
      <w:r>
        <w:rPr>
          <w:rFonts w:ascii="Arial" w:hAnsi="Arial" w:cs="Arial"/>
        </w:rPr>
        <w:t>Contudo, foi verificada no momento da conferência da documentação, divergência entre o valor da planilha</w:t>
      </w:r>
      <w:r w:rsidR="006544D0">
        <w:rPr>
          <w:rFonts w:ascii="Arial" w:hAnsi="Arial" w:cs="Arial"/>
        </w:rPr>
        <w:t xml:space="preserve"> </w:t>
      </w:r>
      <w:r w:rsidR="00D82D70">
        <w:rPr>
          <w:rFonts w:ascii="Arial" w:hAnsi="Arial" w:cs="Arial"/>
        </w:rPr>
        <w:t xml:space="preserve">e o </w:t>
      </w:r>
      <w:r w:rsidR="006544D0">
        <w:rPr>
          <w:rFonts w:ascii="Arial" w:hAnsi="Arial" w:cs="Arial"/>
        </w:rPr>
        <w:t>cálculo da comissão,</w:t>
      </w:r>
      <w:r>
        <w:rPr>
          <w:rFonts w:ascii="Arial" w:hAnsi="Arial" w:cs="Arial"/>
        </w:rPr>
        <w:t xml:space="preserve"> de forma que o reequilíbrio foi deferido de acordo com o cálculo efetuado por esta comissão.</w:t>
      </w:r>
    </w:p>
    <w:p w14:paraId="58D5E684" w14:textId="63E1AE31" w:rsidR="007532D9" w:rsidRPr="00604D6A" w:rsidRDefault="007532D9" w:rsidP="00604D6A">
      <w:pPr>
        <w:pStyle w:val="Padro"/>
        <w:spacing w:line="360" w:lineRule="auto"/>
        <w:ind w:firstLine="708"/>
        <w:jc w:val="both"/>
        <w:rPr>
          <w:rFonts w:ascii="Arial" w:hAnsi="Arial" w:cs="Arial"/>
        </w:rPr>
      </w:pPr>
      <w:r>
        <w:rPr>
          <w:rFonts w:ascii="Arial" w:hAnsi="Arial" w:cs="Arial"/>
        </w:rPr>
        <w:t xml:space="preserve">É o disposto pelo art. 65, II, “d” da Lei nº 8.666/93, e ao art. 12, § 3º, III, do Decreto Municipal nº 1.526/2017, infra indicados: </w:t>
      </w:r>
    </w:p>
    <w:p w14:paraId="20F94C1E" w14:textId="77777777" w:rsidR="007532D9" w:rsidRDefault="007532D9" w:rsidP="007532D9">
      <w:pPr>
        <w:pStyle w:val="NormalWeb"/>
        <w:spacing w:before="0" w:beforeAutospacing="0" w:after="0" w:afterAutospacing="0"/>
        <w:ind w:left="2268"/>
        <w:contextualSpacing/>
        <w:jc w:val="both"/>
        <w:rPr>
          <w:rFonts w:ascii="Arial" w:hAnsi="Arial" w:cs="Arial"/>
          <w:color w:val="000000"/>
          <w:sz w:val="20"/>
          <w:szCs w:val="20"/>
          <w:shd w:val="clear" w:color="auto" w:fill="FFFFFF"/>
        </w:rPr>
      </w:pPr>
      <w:r>
        <w:rPr>
          <w:rFonts w:ascii="Arial" w:hAnsi="Arial" w:cs="Arial"/>
          <w:color w:val="000000"/>
          <w:sz w:val="20"/>
          <w:szCs w:val="20"/>
          <w:shd w:val="clear" w:color="auto" w:fill="FFFFFF"/>
        </w:rPr>
        <w:t>“Art. 65.  Os contratos regidos por esta Lei poderão ser alterados, com as devidas justificativas, nos seguintes casos:</w:t>
      </w:r>
    </w:p>
    <w:p w14:paraId="16E9DF89" w14:textId="77777777" w:rsidR="007532D9" w:rsidRDefault="007532D9" w:rsidP="007532D9">
      <w:pPr>
        <w:pStyle w:val="NormalWeb"/>
        <w:spacing w:before="0" w:beforeAutospacing="0" w:after="0" w:afterAutospacing="0"/>
        <w:ind w:left="2268"/>
        <w:contextualSpacing/>
        <w:jc w:val="both"/>
        <w:rPr>
          <w:rFonts w:ascii="Arial" w:hAnsi="Arial" w:cs="Arial"/>
          <w:color w:val="000000"/>
          <w:sz w:val="20"/>
          <w:szCs w:val="20"/>
        </w:rPr>
      </w:pPr>
      <w:r>
        <w:rPr>
          <w:rFonts w:ascii="Arial" w:hAnsi="Arial" w:cs="Arial"/>
          <w:color w:val="000000"/>
          <w:sz w:val="20"/>
          <w:szCs w:val="20"/>
        </w:rPr>
        <w:t>[...]</w:t>
      </w:r>
    </w:p>
    <w:p w14:paraId="25314CEF" w14:textId="77777777" w:rsidR="007532D9" w:rsidRDefault="007532D9" w:rsidP="007532D9">
      <w:pPr>
        <w:pStyle w:val="NormalWeb"/>
        <w:spacing w:before="0" w:beforeAutospacing="0" w:after="0" w:afterAutospacing="0"/>
        <w:ind w:left="2268"/>
        <w:contextualSpacing/>
        <w:jc w:val="both"/>
      </w:pPr>
      <w:r>
        <w:rPr>
          <w:rFonts w:ascii="Arial" w:hAnsi="Arial" w:cs="Arial"/>
          <w:color w:val="000000"/>
          <w:sz w:val="20"/>
          <w:szCs w:val="20"/>
          <w:shd w:val="clear" w:color="auto" w:fill="FFFFFF"/>
        </w:rPr>
        <w:t>II - Por acordo das partes:</w:t>
      </w:r>
    </w:p>
    <w:p w14:paraId="6F612F35" w14:textId="77777777" w:rsidR="007532D9" w:rsidRDefault="007532D9" w:rsidP="007532D9">
      <w:pPr>
        <w:pStyle w:val="NormalWeb"/>
        <w:spacing w:before="0" w:beforeAutospacing="0" w:after="0" w:afterAutospacing="0"/>
        <w:ind w:left="2268"/>
        <w:contextualSpacing/>
        <w:jc w:val="both"/>
        <w:rPr>
          <w:rFonts w:ascii="Arial" w:hAnsi="Arial" w:cs="Arial"/>
          <w:color w:val="000000"/>
          <w:sz w:val="20"/>
          <w:szCs w:val="20"/>
        </w:rPr>
      </w:pPr>
      <w:r>
        <w:rPr>
          <w:rFonts w:ascii="Arial" w:hAnsi="Arial" w:cs="Arial"/>
          <w:color w:val="000000"/>
          <w:sz w:val="20"/>
          <w:szCs w:val="20"/>
        </w:rPr>
        <w:t>[...]</w:t>
      </w:r>
    </w:p>
    <w:p w14:paraId="7E5D01E8" w14:textId="77777777" w:rsidR="007532D9" w:rsidRDefault="007532D9" w:rsidP="007532D9">
      <w:pPr>
        <w:pStyle w:val="NormalWeb"/>
        <w:spacing w:before="0" w:beforeAutospacing="0" w:after="0" w:afterAutospacing="0"/>
        <w:ind w:left="2268"/>
        <w:contextualSpacing/>
        <w:jc w:val="both"/>
        <w:rPr>
          <w:rFonts w:ascii="Arial" w:eastAsiaTheme="minorHAnsi" w:hAnsi="Arial" w:cs="Arial"/>
          <w:color w:val="000000"/>
          <w:sz w:val="20"/>
          <w:szCs w:val="20"/>
          <w:lang w:eastAsia="en-US"/>
        </w:rPr>
      </w:pPr>
      <w:r w:rsidRPr="001B2B4A">
        <w:rPr>
          <w:rFonts w:ascii="Arial" w:eastAsiaTheme="minorHAnsi" w:hAnsi="Arial" w:cs="Arial"/>
          <w:color w:val="000000"/>
          <w:sz w:val="20"/>
          <w:szCs w:val="20"/>
          <w:lang w:eastAsia="en-US"/>
        </w:rPr>
        <w:t>d) para restabelecer a relação que as partes pactuaram inicialmente entre os encargos do contratado e a retribuição da administração para a justa remuneração da obra, serviço ou fornecimento, objetivando a manutenção do equilíbrio econômico-financeiro inicial do contrato, na hipótese de sobrevirem fatos imprevisíveis, ou previsíveis porém de consequências incalculáveis, retardadores ou impeditivos da execução do ajustado, ou, ainda, em caso de força maior, caso fortuito ou fato do príncipe, configurando álea econômica extraordinária e extracontratual. </w:t>
      </w:r>
      <w:hyperlink r:id="rId6" w:anchor="art1" w:history="1">
        <w:r w:rsidRPr="001B2B4A">
          <w:rPr>
            <w:rFonts w:ascii="Arial" w:eastAsiaTheme="minorHAnsi" w:hAnsi="Arial" w:cs="Arial"/>
            <w:color w:val="000000"/>
            <w:sz w:val="20"/>
            <w:szCs w:val="20"/>
            <w:lang w:eastAsia="en-US"/>
          </w:rPr>
          <w:t>(Redação dada pela Lei nº 8.883, de 1994)</w:t>
        </w:r>
      </w:hyperlink>
      <w:r w:rsidRPr="001B2B4A">
        <w:rPr>
          <w:rFonts w:ascii="Arial" w:eastAsiaTheme="minorHAnsi" w:hAnsi="Arial" w:cs="Arial"/>
          <w:color w:val="000000"/>
          <w:sz w:val="20"/>
          <w:szCs w:val="20"/>
          <w:lang w:eastAsia="en-US"/>
        </w:rPr>
        <w:t>"</w:t>
      </w:r>
    </w:p>
    <w:p w14:paraId="511F12A6" w14:textId="77777777" w:rsidR="007532D9" w:rsidRDefault="007532D9" w:rsidP="007532D9">
      <w:pPr>
        <w:ind w:left="2268"/>
        <w:contextualSpacing/>
        <w:jc w:val="both"/>
        <w:rPr>
          <w:rFonts w:ascii="Arial" w:hAnsi="Arial" w:cs="Arial"/>
          <w:b/>
          <w:color w:val="000000"/>
          <w:sz w:val="20"/>
          <w:szCs w:val="20"/>
        </w:rPr>
      </w:pPr>
    </w:p>
    <w:p w14:paraId="301B3D67" w14:textId="77777777" w:rsidR="007532D9" w:rsidRPr="00247D3A" w:rsidRDefault="007532D9" w:rsidP="007532D9">
      <w:pPr>
        <w:ind w:left="2268"/>
        <w:contextualSpacing/>
        <w:jc w:val="both"/>
        <w:rPr>
          <w:rFonts w:ascii="Arial" w:hAnsi="Arial" w:cs="Arial"/>
          <w:color w:val="000000"/>
          <w:sz w:val="20"/>
          <w:szCs w:val="20"/>
        </w:rPr>
      </w:pPr>
      <w:r w:rsidRPr="00247D3A">
        <w:rPr>
          <w:rFonts w:ascii="Arial" w:hAnsi="Arial" w:cs="Arial"/>
          <w:b/>
          <w:color w:val="000000"/>
          <w:sz w:val="20"/>
          <w:szCs w:val="20"/>
        </w:rPr>
        <w:t xml:space="preserve"> “Art. 12º</w:t>
      </w:r>
      <w:r w:rsidRPr="00247D3A">
        <w:rPr>
          <w:rFonts w:ascii="Arial" w:hAnsi="Arial" w:cs="Arial"/>
          <w:color w:val="000000"/>
          <w:sz w:val="20"/>
          <w:szCs w:val="20"/>
        </w:rPr>
        <w:t>- A Ata de Registro de Preços poderá sofrer alterações obedecidas as disposições contidas no art. 65 da Lei Federal nº 8.666/93.</w:t>
      </w:r>
    </w:p>
    <w:p w14:paraId="200F5CC1" w14:textId="77777777" w:rsidR="007532D9" w:rsidRPr="00247D3A" w:rsidRDefault="007532D9" w:rsidP="007532D9">
      <w:pPr>
        <w:ind w:left="2268"/>
        <w:contextualSpacing/>
        <w:jc w:val="both"/>
        <w:rPr>
          <w:rFonts w:ascii="Arial" w:hAnsi="Arial" w:cs="Arial"/>
          <w:color w:val="000000"/>
          <w:sz w:val="20"/>
          <w:szCs w:val="20"/>
        </w:rPr>
      </w:pPr>
      <w:r w:rsidRPr="00247D3A">
        <w:rPr>
          <w:rFonts w:ascii="Arial" w:hAnsi="Arial" w:cs="Arial"/>
          <w:color w:val="000000"/>
          <w:sz w:val="20"/>
          <w:szCs w:val="20"/>
        </w:rPr>
        <w:t>§ 3</w:t>
      </w:r>
      <w:r w:rsidRPr="00247D3A">
        <w:rPr>
          <w:rFonts w:ascii="Arial" w:hAnsi="Arial" w:cs="Arial"/>
          <w:strike/>
          <w:color w:val="000000"/>
          <w:sz w:val="20"/>
          <w:szCs w:val="20"/>
        </w:rPr>
        <w:t>º</w:t>
      </w:r>
      <w:r w:rsidRPr="00247D3A">
        <w:rPr>
          <w:rFonts w:ascii="Arial" w:hAnsi="Arial" w:cs="Arial"/>
          <w:color w:val="000000"/>
          <w:sz w:val="20"/>
          <w:szCs w:val="20"/>
        </w:rPr>
        <w:t>   Quando o preço de mercado torna-se superior aos preços registrados e o fornecedor, mediante requerimento devidamente comprovado, não puder cumprir o compromisso, o órgão gerenciador poderá:</w:t>
      </w:r>
    </w:p>
    <w:p w14:paraId="086624C5" w14:textId="77777777" w:rsidR="007532D9" w:rsidRPr="00247D3A" w:rsidRDefault="007532D9" w:rsidP="007532D9">
      <w:pPr>
        <w:ind w:left="2268"/>
        <w:contextualSpacing/>
        <w:jc w:val="both"/>
        <w:rPr>
          <w:rFonts w:ascii="Arial" w:hAnsi="Arial" w:cs="Arial"/>
          <w:color w:val="000000"/>
          <w:sz w:val="20"/>
          <w:szCs w:val="20"/>
        </w:rPr>
      </w:pPr>
      <w:r w:rsidRPr="00247D3A">
        <w:rPr>
          <w:rFonts w:ascii="Arial" w:hAnsi="Arial" w:cs="Arial"/>
          <w:color w:val="000000"/>
          <w:sz w:val="20"/>
          <w:szCs w:val="20"/>
        </w:rPr>
        <w:lastRenderedPageBreak/>
        <w:t>[...]</w:t>
      </w:r>
    </w:p>
    <w:p w14:paraId="519D4613" w14:textId="77777777" w:rsidR="007532D9" w:rsidRPr="00247D3A" w:rsidRDefault="007532D9" w:rsidP="007532D9">
      <w:pPr>
        <w:ind w:left="2268"/>
        <w:contextualSpacing/>
        <w:jc w:val="both"/>
        <w:rPr>
          <w:rFonts w:ascii="Arial" w:hAnsi="Arial" w:cs="Arial"/>
          <w:color w:val="000000"/>
          <w:sz w:val="20"/>
          <w:szCs w:val="20"/>
        </w:rPr>
      </w:pPr>
      <w:r w:rsidRPr="00247D3A">
        <w:rPr>
          <w:rFonts w:ascii="Arial" w:hAnsi="Arial" w:cs="Arial"/>
          <w:color w:val="000000"/>
          <w:sz w:val="20"/>
          <w:szCs w:val="20"/>
        </w:rPr>
        <w:t xml:space="preserve">III – realizar o realinhamento do preço visando o equilíbrio econômico-financeiro, com adequação a média praticada no mercado: </w:t>
      </w:r>
      <w:hyperlink r:id="rId7" w:anchor="art1" w:history="1">
        <w:r w:rsidRPr="00247D3A">
          <w:rPr>
            <w:rStyle w:val="Hyperlink"/>
            <w:rFonts w:ascii="Arial" w:hAnsi="Arial" w:cs="Arial"/>
            <w:sz w:val="20"/>
            <w:szCs w:val="20"/>
            <w:shd w:val="clear" w:color="auto" w:fill="FFFFFF"/>
          </w:rPr>
          <w:t>(Incluído pelo Decreto nº 1.573, de 2017)</w:t>
        </w:r>
      </w:hyperlink>
    </w:p>
    <w:p w14:paraId="19961CB3" w14:textId="77777777" w:rsidR="007532D9" w:rsidRPr="00247D3A" w:rsidRDefault="007532D9" w:rsidP="007532D9">
      <w:pPr>
        <w:ind w:left="2268"/>
        <w:contextualSpacing/>
        <w:jc w:val="both"/>
        <w:rPr>
          <w:rFonts w:ascii="Arial" w:hAnsi="Arial" w:cs="Arial"/>
          <w:color w:val="000000"/>
          <w:sz w:val="20"/>
          <w:szCs w:val="20"/>
        </w:rPr>
      </w:pPr>
      <w:r w:rsidRPr="00247D3A">
        <w:rPr>
          <w:rFonts w:ascii="Arial" w:hAnsi="Arial" w:cs="Arial"/>
          <w:color w:val="000000"/>
          <w:sz w:val="20"/>
          <w:szCs w:val="20"/>
        </w:rPr>
        <w:t xml:space="preserve">b) o pedido deverá especificar a necessidade através de documentos que comprovem o aumento do custo; </w:t>
      </w:r>
      <w:hyperlink r:id="rId8" w:anchor="art1" w:history="1">
        <w:r w:rsidRPr="00247D3A">
          <w:rPr>
            <w:rStyle w:val="Hyperlink"/>
            <w:rFonts w:ascii="Arial" w:hAnsi="Arial" w:cs="Arial"/>
            <w:sz w:val="20"/>
            <w:szCs w:val="20"/>
            <w:shd w:val="clear" w:color="auto" w:fill="FFFFFF"/>
          </w:rPr>
          <w:t>(Incluído pelo Decreto nº 1.573, de 2017)</w:t>
        </w:r>
      </w:hyperlink>
    </w:p>
    <w:p w14:paraId="2ED7B1AE" w14:textId="77777777" w:rsidR="007532D9" w:rsidRDefault="007532D9" w:rsidP="007532D9">
      <w:pPr>
        <w:ind w:left="2268"/>
        <w:contextualSpacing/>
        <w:jc w:val="both"/>
        <w:rPr>
          <w:rStyle w:val="Hyperlink"/>
          <w:rFonts w:ascii="Arial" w:hAnsi="Arial" w:cs="Arial"/>
          <w:sz w:val="20"/>
          <w:szCs w:val="20"/>
          <w:shd w:val="clear" w:color="auto" w:fill="FFFFFF"/>
        </w:rPr>
      </w:pPr>
      <w:r w:rsidRPr="00247D3A">
        <w:rPr>
          <w:rFonts w:ascii="Arial" w:hAnsi="Arial" w:cs="Arial"/>
          <w:color w:val="000000"/>
          <w:sz w:val="20"/>
          <w:szCs w:val="20"/>
        </w:rPr>
        <w:t xml:space="preserve">c) o realinhamento não admitirá percentual superior à diferença entre o custo e o preço registrado em Ata à época do registro de preço.” </w:t>
      </w:r>
      <w:hyperlink r:id="rId9" w:anchor="art1" w:history="1">
        <w:r w:rsidRPr="00247D3A">
          <w:rPr>
            <w:rStyle w:val="Hyperlink"/>
            <w:rFonts w:ascii="Arial" w:hAnsi="Arial" w:cs="Arial"/>
            <w:sz w:val="20"/>
            <w:szCs w:val="20"/>
            <w:shd w:val="clear" w:color="auto" w:fill="FFFFFF"/>
          </w:rPr>
          <w:t>(Incluído pelo Decreto nº 1.573, de 2017)</w:t>
        </w:r>
      </w:hyperlink>
    </w:p>
    <w:p w14:paraId="23C831F6" w14:textId="77777777" w:rsidR="007532D9" w:rsidRDefault="007532D9" w:rsidP="007532D9">
      <w:pPr>
        <w:ind w:left="2268"/>
        <w:contextualSpacing/>
        <w:jc w:val="both"/>
        <w:rPr>
          <w:rStyle w:val="Hyperlink"/>
          <w:rFonts w:ascii="Arial" w:hAnsi="Arial" w:cs="Arial"/>
          <w:sz w:val="20"/>
          <w:szCs w:val="20"/>
          <w:shd w:val="clear" w:color="auto" w:fill="FFFFFF"/>
        </w:rPr>
      </w:pPr>
    </w:p>
    <w:p w14:paraId="5231645C" w14:textId="77777777" w:rsidR="007532D9" w:rsidRDefault="007532D9" w:rsidP="007532D9">
      <w:pPr>
        <w:ind w:left="2268"/>
        <w:contextualSpacing/>
        <w:jc w:val="both"/>
        <w:rPr>
          <w:rFonts w:ascii="Arial" w:hAnsi="Arial" w:cs="Arial"/>
          <w:sz w:val="20"/>
          <w:szCs w:val="20"/>
        </w:rPr>
      </w:pPr>
    </w:p>
    <w:p w14:paraId="55AEE404" w14:textId="510EDAB5" w:rsidR="00941D77" w:rsidRPr="00604D6A" w:rsidRDefault="007532D9" w:rsidP="00604D6A">
      <w:pPr>
        <w:pStyle w:val="Padro"/>
        <w:spacing w:line="360" w:lineRule="auto"/>
        <w:ind w:firstLine="708"/>
        <w:jc w:val="both"/>
        <w:rPr>
          <w:rFonts w:ascii="Arial" w:hAnsi="Arial" w:cs="Arial"/>
        </w:rPr>
      </w:pPr>
      <w:r w:rsidRPr="002335C7">
        <w:rPr>
          <w:rFonts w:ascii="Arial" w:hAnsi="Arial" w:cs="Arial"/>
        </w:rPr>
        <w:tab/>
      </w:r>
      <w:r w:rsidR="0019469F">
        <w:rPr>
          <w:rFonts w:ascii="Arial" w:hAnsi="Arial" w:cs="Arial"/>
        </w:rPr>
        <w:t>Desta forma</w:t>
      </w:r>
      <w:r w:rsidR="002335C7" w:rsidRPr="002335C7">
        <w:rPr>
          <w:rFonts w:ascii="Arial" w:hAnsi="Arial" w:cs="Arial"/>
        </w:rPr>
        <w:t xml:space="preserve">, </w:t>
      </w:r>
      <w:r w:rsidR="00731199" w:rsidRPr="002335C7">
        <w:rPr>
          <w:rFonts w:ascii="Arial" w:hAnsi="Arial" w:cs="Arial"/>
        </w:rPr>
        <w:t>os preços serão atualizados no primeiro dia útil subsequente à data de assinatura da presente decisão, conforme planilha abaixo:</w:t>
      </w:r>
    </w:p>
    <w:tbl>
      <w:tblPr>
        <w:tblStyle w:val="Tabelacomgrade"/>
        <w:tblW w:w="9155" w:type="dxa"/>
        <w:tblInd w:w="108" w:type="dxa"/>
        <w:tblLayout w:type="fixed"/>
        <w:tblLook w:val="04A0" w:firstRow="1" w:lastRow="0" w:firstColumn="1" w:lastColumn="0" w:noHBand="0" w:noVBand="1"/>
      </w:tblPr>
      <w:tblGrid>
        <w:gridCol w:w="884"/>
        <w:gridCol w:w="4645"/>
        <w:gridCol w:w="1701"/>
        <w:gridCol w:w="1925"/>
      </w:tblGrid>
      <w:tr w:rsidR="00731199" w14:paraId="5A464C6F" w14:textId="77777777" w:rsidTr="003114E7">
        <w:trPr>
          <w:trHeight w:val="980"/>
        </w:trPr>
        <w:tc>
          <w:tcPr>
            <w:tcW w:w="884" w:type="dxa"/>
            <w:tcBorders>
              <w:top w:val="single" w:sz="4" w:space="0" w:color="auto"/>
              <w:left w:val="single" w:sz="4" w:space="0" w:color="auto"/>
              <w:bottom w:val="single" w:sz="4" w:space="0" w:color="auto"/>
              <w:right w:val="single" w:sz="4" w:space="0" w:color="auto"/>
            </w:tcBorders>
            <w:vAlign w:val="center"/>
            <w:hideMark/>
          </w:tcPr>
          <w:p w14:paraId="1A6C1276" w14:textId="77777777" w:rsidR="00731199" w:rsidRDefault="00731199" w:rsidP="00774874">
            <w:pPr>
              <w:pStyle w:val="Padro"/>
              <w:spacing w:before="80" w:after="80"/>
              <w:jc w:val="center"/>
              <w:rPr>
                <w:rFonts w:ascii="Arial" w:hAnsi="Arial" w:cs="Arial"/>
                <w:b/>
                <w:szCs w:val="24"/>
                <w:lang w:eastAsia="en-US"/>
              </w:rPr>
            </w:pPr>
            <w:r>
              <w:rPr>
                <w:rFonts w:ascii="Arial" w:hAnsi="Arial" w:cs="Arial"/>
                <w:b/>
                <w:szCs w:val="24"/>
                <w:lang w:eastAsia="en-US"/>
              </w:rPr>
              <w:t>Item</w:t>
            </w:r>
          </w:p>
        </w:tc>
        <w:tc>
          <w:tcPr>
            <w:tcW w:w="4645" w:type="dxa"/>
            <w:tcBorders>
              <w:top w:val="single" w:sz="4" w:space="0" w:color="auto"/>
              <w:left w:val="single" w:sz="4" w:space="0" w:color="auto"/>
              <w:bottom w:val="single" w:sz="4" w:space="0" w:color="auto"/>
              <w:right w:val="single" w:sz="4" w:space="0" w:color="auto"/>
            </w:tcBorders>
            <w:vAlign w:val="center"/>
            <w:hideMark/>
          </w:tcPr>
          <w:p w14:paraId="3F0D0525" w14:textId="77777777" w:rsidR="00731199" w:rsidRDefault="00731199" w:rsidP="00774874">
            <w:pPr>
              <w:pStyle w:val="Padro"/>
              <w:spacing w:before="80" w:after="80"/>
              <w:jc w:val="center"/>
              <w:rPr>
                <w:rFonts w:ascii="Arial" w:hAnsi="Arial" w:cs="Arial"/>
                <w:b/>
                <w:szCs w:val="24"/>
                <w:lang w:eastAsia="en-US"/>
              </w:rPr>
            </w:pPr>
            <w:r>
              <w:rPr>
                <w:rFonts w:ascii="Arial" w:hAnsi="Arial" w:cs="Arial"/>
                <w:b/>
                <w:szCs w:val="24"/>
                <w:lang w:eastAsia="en-US"/>
              </w:rPr>
              <w:t>Descrição</w:t>
            </w:r>
          </w:p>
        </w:tc>
        <w:tc>
          <w:tcPr>
            <w:tcW w:w="1701" w:type="dxa"/>
            <w:tcBorders>
              <w:top w:val="single" w:sz="4" w:space="0" w:color="auto"/>
              <w:left w:val="single" w:sz="4" w:space="0" w:color="auto"/>
              <w:bottom w:val="single" w:sz="4" w:space="0" w:color="auto"/>
              <w:right w:val="single" w:sz="4" w:space="0" w:color="auto"/>
            </w:tcBorders>
            <w:hideMark/>
          </w:tcPr>
          <w:p w14:paraId="718B32D5" w14:textId="77777777" w:rsidR="00731199" w:rsidRDefault="00731199" w:rsidP="00774874">
            <w:pPr>
              <w:pStyle w:val="Padro"/>
              <w:spacing w:before="80" w:after="80"/>
              <w:jc w:val="center"/>
              <w:rPr>
                <w:rFonts w:ascii="Arial" w:hAnsi="Arial" w:cs="Arial"/>
                <w:b/>
                <w:szCs w:val="24"/>
                <w:lang w:eastAsia="en-US"/>
              </w:rPr>
            </w:pPr>
            <w:r>
              <w:rPr>
                <w:rFonts w:ascii="Arial" w:hAnsi="Arial" w:cs="Arial"/>
                <w:b/>
                <w:szCs w:val="24"/>
                <w:lang w:eastAsia="en-US"/>
              </w:rPr>
              <w:t>Valor Anterior</w:t>
            </w:r>
          </w:p>
        </w:tc>
        <w:tc>
          <w:tcPr>
            <w:tcW w:w="1925" w:type="dxa"/>
            <w:tcBorders>
              <w:top w:val="single" w:sz="4" w:space="0" w:color="auto"/>
              <w:left w:val="single" w:sz="4" w:space="0" w:color="auto"/>
              <w:bottom w:val="single" w:sz="4" w:space="0" w:color="auto"/>
              <w:right w:val="single" w:sz="4" w:space="0" w:color="auto"/>
            </w:tcBorders>
            <w:hideMark/>
          </w:tcPr>
          <w:p w14:paraId="0429FFC8" w14:textId="77777777" w:rsidR="00731199" w:rsidRDefault="00731199" w:rsidP="00774874">
            <w:pPr>
              <w:pStyle w:val="Padro"/>
              <w:spacing w:before="80" w:after="80"/>
              <w:jc w:val="center"/>
              <w:rPr>
                <w:rFonts w:ascii="Arial" w:hAnsi="Arial" w:cs="Arial"/>
                <w:b/>
                <w:szCs w:val="24"/>
                <w:lang w:eastAsia="en-US"/>
              </w:rPr>
            </w:pPr>
            <w:r>
              <w:rPr>
                <w:rFonts w:ascii="Arial" w:hAnsi="Arial" w:cs="Arial"/>
                <w:b/>
                <w:szCs w:val="24"/>
                <w:lang w:eastAsia="en-US"/>
              </w:rPr>
              <w:t>Valor Reequilibrado</w:t>
            </w:r>
          </w:p>
        </w:tc>
      </w:tr>
      <w:tr w:rsidR="00D61A43" w14:paraId="620ED8D0" w14:textId="77777777" w:rsidTr="00604D6A">
        <w:trPr>
          <w:trHeight w:val="834"/>
        </w:trPr>
        <w:tc>
          <w:tcPr>
            <w:tcW w:w="884" w:type="dxa"/>
            <w:tcBorders>
              <w:top w:val="single" w:sz="4" w:space="0" w:color="auto"/>
              <w:left w:val="single" w:sz="4" w:space="0" w:color="auto"/>
              <w:bottom w:val="single" w:sz="4" w:space="0" w:color="auto"/>
              <w:right w:val="single" w:sz="4" w:space="0" w:color="auto"/>
            </w:tcBorders>
            <w:vAlign w:val="center"/>
          </w:tcPr>
          <w:p w14:paraId="4513D6D0" w14:textId="76A3C8C4" w:rsidR="00D61A43" w:rsidRDefault="003114E7" w:rsidP="00604D6A">
            <w:pPr>
              <w:pStyle w:val="Padro"/>
              <w:spacing w:before="80" w:after="80"/>
              <w:jc w:val="center"/>
              <w:rPr>
                <w:rFonts w:ascii="Arial" w:hAnsi="Arial" w:cs="Arial"/>
                <w:szCs w:val="24"/>
                <w:lang w:eastAsia="en-US"/>
              </w:rPr>
            </w:pPr>
            <w:r>
              <w:rPr>
                <w:rFonts w:ascii="Arial" w:hAnsi="Arial" w:cs="Arial"/>
                <w:szCs w:val="24"/>
                <w:lang w:eastAsia="en-US"/>
              </w:rPr>
              <w:t>1</w:t>
            </w:r>
            <w:r w:rsidR="00604D6A">
              <w:rPr>
                <w:rFonts w:ascii="Arial" w:hAnsi="Arial" w:cs="Arial"/>
                <w:szCs w:val="24"/>
                <w:lang w:eastAsia="en-US"/>
              </w:rPr>
              <w:t>75</w:t>
            </w:r>
          </w:p>
        </w:tc>
        <w:tc>
          <w:tcPr>
            <w:tcW w:w="4645" w:type="dxa"/>
            <w:tcBorders>
              <w:top w:val="single" w:sz="4" w:space="0" w:color="auto"/>
              <w:left w:val="single" w:sz="4" w:space="0" w:color="auto"/>
              <w:bottom w:val="single" w:sz="4" w:space="0" w:color="auto"/>
              <w:right w:val="single" w:sz="4" w:space="0" w:color="auto"/>
            </w:tcBorders>
            <w:vAlign w:val="center"/>
          </w:tcPr>
          <w:p w14:paraId="2524B338" w14:textId="4E1C751C" w:rsidR="00D61A43" w:rsidRPr="00604D6A" w:rsidRDefault="00604D6A" w:rsidP="00604D6A">
            <w:pPr>
              <w:pStyle w:val="Padro"/>
              <w:spacing w:before="80" w:after="80"/>
              <w:jc w:val="center"/>
              <w:rPr>
                <w:rFonts w:ascii="Arial" w:hAnsi="Arial" w:cs="Arial"/>
              </w:rPr>
            </w:pPr>
            <w:r w:rsidRPr="00604D6A">
              <w:rPr>
                <w:rFonts w:ascii="Arial" w:hAnsi="Arial" w:cs="Arial"/>
              </w:rPr>
              <w:t>GLICOSE HIPERTONICA 50% AMPOLA 10 ML</w:t>
            </w:r>
          </w:p>
        </w:tc>
        <w:tc>
          <w:tcPr>
            <w:tcW w:w="1701" w:type="dxa"/>
            <w:tcBorders>
              <w:top w:val="single" w:sz="4" w:space="0" w:color="auto"/>
              <w:left w:val="single" w:sz="4" w:space="0" w:color="auto"/>
              <w:bottom w:val="single" w:sz="4" w:space="0" w:color="auto"/>
              <w:right w:val="single" w:sz="4" w:space="0" w:color="auto"/>
            </w:tcBorders>
            <w:vAlign w:val="center"/>
          </w:tcPr>
          <w:p w14:paraId="0BFC3407" w14:textId="36A6DEC3" w:rsidR="00D61A43" w:rsidRPr="00604D6A" w:rsidRDefault="00604D6A" w:rsidP="00604D6A">
            <w:pPr>
              <w:pStyle w:val="Padro"/>
              <w:spacing w:before="80" w:after="80" w:line="360" w:lineRule="auto"/>
              <w:jc w:val="center"/>
              <w:rPr>
                <w:rFonts w:ascii="Arial" w:hAnsi="Arial" w:cs="Arial"/>
                <w:szCs w:val="24"/>
              </w:rPr>
            </w:pPr>
            <w:r w:rsidRPr="00604D6A">
              <w:rPr>
                <w:rFonts w:ascii="Arial" w:hAnsi="Arial" w:cs="Arial"/>
                <w:szCs w:val="24"/>
              </w:rPr>
              <w:t xml:space="preserve">R$ </w:t>
            </w:r>
            <w:r w:rsidRPr="00604D6A">
              <w:rPr>
                <w:rFonts w:ascii="Arial" w:hAnsi="Arial" w:cs="Arial"/>
                <w:szCs w:val="24"/>
              </w:rPr>
              <w:t>0,449</w:t>
            </w:r>
          </w:p>
        </w:tc>
        <w:tc>
          <w:tcPr>
            <w:tcW w:w="1925" w:type="dxa"/>
            <w:tcBorders>
              <w:top w:val="single" w:sz="4" w:space="0" w:color="auto"/>
              <w:left w:val="single" w:sz="4" w:space="0" w:color="auto"/>
              <w:bottom w:val="single" w:sz="4" w:space="0" w:color="auto"/>
              <w:right w:val="single" w:sz="4" w:space="0" w:color="auto"/>
            </w:tcBorders>
            <w:vAlign w:val="center"/>
          </w:tcPr>
          <w:p w14:paraId="6564AB5C" w14:textId="7465551C" w:rsidR="00D61A43" w:rsidRPr="00604D6A" w:rsidRDefault="00604D6A" w:rsidP="00604D6A">
            <w:pPr>
              <w:jc w:val="center"/>
              <w:rPr>
                <w:rFonts w:ascii="Arial" w:hAnsi="Arial" w:cs="Arial"/>
                <w:color w:val="000000"/>
              </w:rPr>
            </w:pPr>
            <w:r w:rsidRPr="00604D6A">
              <w:rPr>
                <w:rFonts w:ascii="Arial" w:hAnsi="Arial" w:cs="Arial"/>
              </w:rPr>
              <w:t>R$</w:t>
            </w:r>
            <w:r w:rsidRPr="00604D6A">
              <w:rPr>
                <w:rFonts w:ascii="Arial" w:hAnsi="Arial" w:cs="Arial"/>
              </w:rPr>
              <w:t xml:space="preserve"> </w:t>
            </w:r>
            <w:r w:rsidRPr="00604D6A">
              <w:rPr>
                <w:rFonts w:ascii="Arial" w:hAnsi="Arial" w:cs="Arial"/>
                <w:color w:val="000000"/>
              </w:rPr>
              <w:t>0,58</w:t>
            </w:r>
          </w:p>
        </w:tc>
      </w:tr>
    </w:tbl>
    <w:p w14:paraId="1F7E3647" w14:textId="6BA439A1" w:rsidR="007532D9" w:rsidRDefault="007532D9" w:rsidP="00D61A43">
      <w:pPr>
        <w:pStyle w:val="Padro"/>
        <w:spacing w:before="80" w:after="80" w:line="360" w:lineRule="auto"/>
        <w:jc w:val="both"/>
        <w:rPr>
          <w:rFonts w:ascii="Arial" w:hAnsi="Arial" w:cs="Arial"/>
          <w:szCs w:val="24"/>
        </w:rPr>
      </w:pPr>
    </w:p>
    <w:p w14:paraId="47F5150A" w14:textId="77777777" w:rsidR="005C2634" w:rsidRPr="00855710" w:rsidRDefault="005C2634" w:rsidP="005C2634">
      <w:pPr>
        <w:pStyle w:val="Padro"/>
        <w:spacing w:before="80" w:after="80"/>
        <w:jc w:val="both"/>
        <w:rPr>
          <w:rFonts w:ascii="Arial" w:hAnsi="Arial" w:cs="Arial"/>
          <w:b/>
          <w:szCs w:val="24"/>
        </w:rPr>
      </w:pPr>
      <w:r>
        <w:rPr>
          <w:rFonts w:ascii="Arial" w:hAnsi="Arial" w:cs="Arial"/>
          <w:b/>
          <w:szCs w:val="24"/>
        </w:rPr>
        <w:t>I</w:t>
      </w:r>
      <w:r w:rsidRPr="00855710">
        <w:rPr>
          <w:rFonts w:ascii="Arial" w:hAnsi="Arial" w:cs="Arial"/>
          <w:b/>
          <w:szCs w:val="24"/>
        </w:rPr>
        <w:t>II – CONCLUSÃO</w:t>
      </w:r>
    </w:p>
    <w:p w14:paraId="2034F2E8" w14:textId="77777777" w:rsidR="005C2634" w:rsidRDefault="005C2634" w:rsidP="005C2634">
      <w:pPr>
        <w:pStyle w:val="Padro"/>
        <w:spacing w:before="80" w:after="80"/>
        <w:ind w:firstLine="708"/>
        <w:jc w:val="both"/>
        <w:rPr>
          <w:rFonts w:ascii="Arial" w:hAnsi="Arial" w:cs="Arial"/>
          <w:szCs w:val="24"/>
        </w:rPr>
      </w:pPr>
    </w:p>
    <w:p w14:paraId="2A5772B1" w14:textId="58922691" w:rsidR="005C2634" w:rsidRPr="000F1741" w:rsidRDefault="005C2634" w:rsidP="00774874">
      <w:pPr>
        <w:spacing w:line="360" w:lineRule="auto"/>
        <w:ind w:firstLine="708"/>
        <w:jc w:val="both"/>
        <w:rPr>
          <w:rFonts w:ascii="Arial" w:hAnsi="Arial" w:cs="Arial"/>
          <w:b/>
        </w:rPr>
      </w:pPr>
      <w:r w:rsidRPr="000F1741">
        <w:rPr>
          <w:rFonts w:ascii="Arial" w:hAnsi="Arial" w:cs="Arial"/>
        </w:rPr>
        <w:t>Assim, face ao exposto, a Comissão Permanente de Licitação do Município de Perdigão, conhece o r</w:t>
      </w:r>
      <w:r w:rsidR="00A05F7E" w:rsidRPr="000F1741">
        <w:rPr>
          <w:rFonts w:ascii="Arial" w:hAnsi="Arial" w:cs="Arial"/>
        </w:rPr>
        <w:t>equerimento</w:t>
      </w:r>
      <w:r w:rsidRPr="000F1741">
        <w:rPr>
          <w:rFonts w:ascii="Arial" w:hAnsi="Arial" w:cs="Arial"/>
        </w:rPr>
        <w:t xml:space="preserve"> apresentado pela empresa </w:t>
      </w:r>
      <w:r w:rsidR="009412BD" w:rsidRPr="009412BD">
        <w:rPr>
          <w:rFonts w:ascii="Arial" w:hAnsi="Arial" w:cs="Arial"/>
          <w:b/>
        </w:rPr>
        <w:t>ACACIA COMERCIO DE MEDICAMENTOS LTDA</w:t>
      </w:r>
      <w:r w:rsidR="00D61A43" w:rsidRPr="000F1741">
        <w:rPr>
          <w:rFonts w:ascii="Arial" w:hAnsi="Arial" w:cs="Arial"/>
          <w:b/>
        </w:rPr>
        <w:t xml:space="preserve"> </w:t>
      </w:r>
      <w:r w:rsidR="00AB4818" w:rsidRPr="000F1741">
        <w:rPr>
          <w:rFonts w:ascii="Arial" w:hAnsi="Arial" w:cs="Arial"/>
        </w:rPr>
        <w:t xml:space="preserve">para </w:t>
      </w:r>
      <w:r w:rsidR="007532D9" w:rsidRPr="000F1741">
        <w:rPr>
          <w:rFonts w:ascii="Arial" w:hAnsi="Arial" w:cs="Arial"/>
        </w:rPr>
        <w:t>conceder o reequilíbrio econômico-financeiro referente ao ite</w:t>
      </w:r>
      <w:r w:rsidR="009412BD">
        <w:rPr>
          <w:rFonts w:ascii="Arial" w:hAnsi="Arial" w:cs="Arial"/>
        </w:rPr>
        <w:t>m</w:t>
      </w:r>
      <w:r w:rsidR="000F1741" w:rsidRPr="000F1741">
        <w:rPr>
          <w:rFonts w:ascii="Arial" w:hAnsi="Arial" w:cs="Arial"/>
        </w:rPr>
        <w:t xml:space="preserve"> n° </w:t>
      </w:r>
      <w:r w:rsidR="009412BD">
        <w:rPr>
          <w:rFonts w:ascii="Arial" w:hAnsi="Arial" w:cs="Arial"/>
        </w:rPr>
        <w:t>1</w:t>
      </w:r>
      <w:r w:rsidR="00604D6A">
        <w:rPr>
          <w:rFonts w:ascii="Arial" w:hAnsi="Arial" w:cs="Arial"/>
        </w:rPr>
        <w:t xml:space="preserve">75 </w:t>
      </w:r>
      <w:r w:rsidR="00E93E14" w:rsidRPr="000F1741">
        <w:rPr>
          <w:rFonts w:ascii="Arial" w:hAnsi="Arial" w:cs="Arial"/>
        </w:rPr>
        <w:t>referente à Ata de Registro de Preços nº 0</w:t>
      </w:r>
      <w:r w:rsidR="00604D6A">
        <w:rPr>
          <w:rFonts w:ascii="Arial" w:hAnsi="Arial" w:cs="Arial"/>
        </w:rPr>
        <w:t>0076</w:t>
      </w:r>
      <w:r w:rsidR="00E93E14" w:rsidRPr="000F1741">
        <w:rPr>
          <w:rFonts w:ascii="Arial" w:hAnsi="Arial" w:cs="Arial"/>
        </w:rPr>
        <w:t>/2</w:t>
      </w:r>
      <w:r w:rsidR="002B0989" w:rsidRPr="000F1741">
        <w:rPr>
          <w:rFonts w:ascii="Arial" w:hAnsi="Arial" w:cs="Arial"/>
        </w:rPr>
        <w:t>021</w:t>
      </w:r>
      <w:r w:rsidR="00E93E14" w:rsidRPr="000F1741">
        <w:rPr>
          <w:rFonts w:ascii="Arial" w:hAnsi="Arial" w:cs="Arial"/>
        </w:rPr>
        <w:t>.</w:t>
      </w:r>
    </w:p>
    <w:p w14:paraId="77D7C3EB" w14:textId="77777777" w:rsidR="005C2634" w:rsidRDefault="005C2634" w:rsidP="005C2634">
      <w:pPr>
        <w:spacing w:line="360" w:lineRule="auto"/>
        <w:jc w:val="center"/>
        <w:rPr>
          <w:rFonts w:ascii="Arial" w:hAnsi="Arial" w:cs="Arial"/>
          <w:sz w:val="16"/>
          <w:szCs w:val="16"/>
        </w:rPr>
      </w:pPr>
    </w:p>
    <w:p w14:paraId="045A0D67" w14:textId="77777777" w:rsidR="00604D6A" w:rsidRPr="00AC3DFE" w:rsidRDefault="00604D6A" w:rsidP="005C2634">
      <w:pPr>
        <w:spacing w:line="360" w:lineRule="auto"/>
        <w:jc w:val="center"/>
        <w:rPr>
          <w:rFonts w:ascii="Arial" w:hAnsi="Arial" w:cs="Arial"/>
          <w:sz w:val="16"/>
          <w:szCs w:val="16"/>
        </w:rPr>
      </w:pPr>
    </w:p>
    <w:p w14:paraId="7D412D57" w14:textId="0C799B62" w:rsidR="00752A1E" w:rsidRDefault="005C2634" w:rsidP="00604D6A">
      <w:pPr>
        <w:spacing w:line="360" w:lineRule="auto"/>
        <w:jc w:val="center"/>
        <w:rPr>
          <w:rFonts w:ascii="Arial" w:hAnsi="Arial" w:cs="Arial"/>
        </w:rPr>
      </w:pPr>
      <w:r w:rsidRPr="005002EA">
        <w:rPr>
          <w:rFonts w:ascii="Arial" w:hAnsi="Arial" w:cs="Arial"/>
        </w:rPr>
        <w:t>Perdigão</w:t>
      </w:r>
      <w:r>
        <w:rPr>
          <w:rFonts w:ascii="Arial" w:hAnsi="Arial" w:cs="Arial"/>
        </w:rPr>
        <w:t>/MG</w:t>
      </w:r>
      <w:r w:rsidRPr="005002EA">
        <w:rPr>
          <w:rFonts w:ascii="Arial" w:hAnsi="Arial" w:cs="Arial"/>
        </w:rPr>
        <w:t xml:space="preserve">, </w:t>
      </w:r>
      <w:r w:rsidR="00604D6A">
        <w:rPr>
          <w:rFonts w:ascii="Arial" w:hAnsi="Arial" w:cs="Arial"/>
        </w:rPr>
        <w:t>02</w:t>
      </w:r>
      <w:r w:rsidR="00D61A43">
        <w:rPr>
          <w:rFonts w:ascii="Arial" w:hAnsi="Arial" w:cs="Arial"/>
        </w:rPr>
        <w:t xml:space="preserve"> </w:t>
      </w:r>
      <w:r w:rsidR="00BD4F28">
        <w:rPr>
          <w:rFonts w:ascii="Arial" w:hAnsi="Arial" w:cs="Arial"/>
        </w:rPr>
        <w:t>de</w:t>
      </w:r>
      <w:r w:rsidR="00604D6A">
        <w:rPr>
          <w:rFonts w:ascii="Arial" w:hAnsi="Arial" w:cs="Arial"/>
        </w:rPr>
        <w:t xml:space="preserve"> junho</w:t>
      </w:r>
      <w:r>
        <w:rPr>
          <w:rFonts w:ascii="Arial" w:hAnsi="Arial" w:cs="Arial"/>
        </w:rPr>
        <w:t xml:space="preserve"> 202</w:t>
      </w:r>
      <w:r w:rsidR="00604D6A">
        <w:rPr>
          <w:rFonts w:ascii="Arial" w:hAnsi="Arial" w:cs="Arial"/>
        </w:rPr>
        <w:t>2</w:t>
      </w:r>
      <w:r w:rsidRPr="005002EA">
        <w:rPr>
          <w:rFonts w:ascii="Arial" w:hAnsi="Arial" w:cs="Arial"/>
        </w:rPr>
        <w:t>.</w:t>
      </w:r>
    </w:p>
    <w:p w14:paraId="304AB334" w14:textId="77777777" w:rsidR="00604D6A" w:rsidRDefault="00604D6A" w:rsidP="00604D6A">
      <w:pPr>
        <w:spacing w:line="360" w:lineRule="auto"/>
        <w:jc w:val="center"/>
        <w:rPr>
          <w:rFonts w:ascii="Arial" w:hAnsi="Arial" w:cs="Arial"/>
        </w:rPr>
      </w:pPr>
      <w:bookmarkStart w:id="0" w:name="_GoBack"/>
      <w:bookmarkEnd w:id="0"/>
    </w:p>
    <w:p w14:paraId="4875685B" w14:textId="77777777" w:rsidR="00E93E14" w:rsidRDefault="00E93E14" w:rsidP="00FE0E2E">
      <w:pPr>
        <w:spacing w:line="360" w:lineRule="auto"/>
        <w:rPr>
          <w:rFonts w:ascii="Arial" w:hAnsi="Arial" w:cs="Arial"/>
        </w:rPr>
      </w:pPr>
    </w:p>
    <w:p w14:paraId="506D41A6" w14:textId="77777777" w:rsidR="00604D6A" w:rsidRPr="005002EA" w:rsidRDefault="00604D6A" w:rsidP="00604D6A">
      <w:pPr>
        <w:jc w:val="center"/>
        <w:rPr>
          <w:rFonts w:ascii="Arial" w:hAnsi="Arial" w:cs="Arial"/>
        </w:rPr>
      </w:pPr>
      <w:proofErr w:type="spellStart"/>
      <w:r>
        <w:rPr>
          <w:rFonts w:ascii="Arial" w:hAnsi="Arial" w:cs="Arial"/>
        </w:rPr>
        <w:t>Julio</w:t>
      </w:r>
      <w:proofErr w:type="spellEnd"/>
      <w:r>
        <w:rPr>
          <w:rFonts w:ascii="Arial" w:hAnsi="Arial" w:cs="Arial"/>
        </w:rPr>
        <w:t xml:space="preserve"> Dimas Tavares de Souza</w:t>
      </w:r>
    </w:p>
    <w:p w14:paraId="0A7C6562" w14:textId="77777777" w:rsidR="00604D6A" w:rsidRDefault="00604D6A" w:rsidP="00604D6A">
      <w:pPr>
        <w:jc w:val="center"/>
        <w:rPr>
          <w:rFonts w:ascii="Arial" w:hAnsi="Arial" w:cs="Arial"/>
        </w:rPr>
      </w:pPr>
      <w:r>
        <w:rPr>
          <w:rFonts w:ascii="Arial" w:hAnsi="Arial" w:cs="Arial"/>
        </w:rPr>
        <w:t>Presidente</w:t>
      </w:r>
      <w:r w:rsidRPr="005002EA">
        <w:rPr>
          <w:rFonts w:ascii="Arial" w:hAnsi="Arial" w:cs="Arial"/>
        </w:rPr>
        <w:t xml:space="preserve"> da Comissão Permanente de Licitação</w:t>
      </w:r>
    </w:p>
    <w:p w14:paraId="614A1F8A" w14:textId="77777777" w:rsidR="00604D6A" w:rsidRDefault="00604D6A" w:rsidP="00604D6A">
      <w:pPr>
        <w:jc w:val="center"/>
        <w:rPr>
          <w:rFonts w:ascii="Arial" w:hAnsi="Arial" w:cs="Arial"/>
        </w:rPr>
      </w:pPr>
      <w:r>
        <w:rPr>
          <w:rFonts w:ascii="Arial" w:hAnsi="Arial" w:cs="Arial"/>
        </w:rPr>
        <w:t>Matrícula - 2595</w:t>
      </w:r>
    </w:p>
    <w:p w14:paraId="73A8E126" w14:textId="77777777" w:rsidR="00604D6A" w:rsidRDefault="00604D6A" w:rsidP="00604D6A">
      <w:pPr>
        <w:rPr>
          <w:rFonts w:ascii="Arial" w:hAnsi="Arial" w:cs="Arial"/>
        </w:rPr>
      </w:pPr>
    </w:p>
    <w:p w14:paraId="30D25DDA" w14:textId="77777777" w:rsidR="00604D6A" w:rsidRPr="005002EA" w:rsidRDefault="00604D6A" w:rsidP="00604D6A">
      <w:pPr>
        <w:jc w:val="center"/>
        <w:rPr>
          <w:rFonts w:ascii="Arial" w:hAnsi="Arial" w:cs="Arial"/>
        </w:rPr>
      </w:pPr>
    </w:p>
    <w:p w14:paraId="11672F2B" w14:textId="77777777" w:rsidR="00604D6A" w:rsidRDefault="00604D6A" w:rsidP="00604D6A">
      <w:pPr>
        <w:spacing w:line="360" w:lineRule="auto"/>
        <w:jc w:val="center"/>
      </w:pPr>
      <w:r w:rsidRPr="00FE0E2E">
        <w:rPr>
          <w:rFonts w:ascii="Arial" w:hAnsi="Arial" w:cs="Arial"/>
          <w:noProof/>
          <w:sz w:val="16"/>
          <w:szCs w:val="16"/>
        </w:rPr>
        <mc:AlternateContent>
          <mc:Choice Requires="wps">
            <w:drawing>
              <wp:anchor distT="0" distB="0" distL="114300" distR="114300" simplePos="0" relativeHeight="251660288" behindDoc="0" locked="0" layoutInCell="1" allowOverlap="1" wp14:anchorId="58D60705" wp14:editId="25D821E3">
                <wp:simplePos x="0" y="0"/>
                <wp:positionH relativeFrom="column">
                  <wp:posOffset>2825115</wp:posOffset>
                </wp:positionH>
                <wp:positionV relativeFrom="paragraph">
                  <wp:posOffset>17780</wp:posOffset>
                </wp:positionV>
                <wp:extent cx="3590925" cy="1403985"/>
                <wp:effectExtent l="0" t="0" r="28575" b="25400"/>
                <wp:wrapNone/>
                <wp:docPr id="1"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0925" cy="1403985"/>
                        </a:xfrm>
                        <a:prstGeom prst="rect">
                          <a:avLst/>
                        </a:prstGeom>
                        <a:solidFill>
                          <a:srgbClr val="FFFFFF"/>
                        </a:solidFill>
                        <a:ln w="9525">
                          <a:solidFill>
                            <a:schemeClr val="bg1"/>
                          </a:solidFill>
                          <a:miter lim="800000"/>
                          <a:headEnd/>
                          <a:tailEnd/>
                        </a:ln>
                      </wps:spPr>
                      <wps:txbx>
                        <w:txbxContent>
                          <w:p w14:paraId="5B4A62A6" w14:textId="77777777" w:rsidR="00604D6A" w:rsidRPr="00FE0E2E" w:rsidRDefault="00604D6A" w:rsidP="00604D6A">
                            <w:pPr>
                              <w:rPr>
                                <w:rFonts w:ascii="Arial" w:hAnsi="Arial" w:cs="Arial"/>
                              </w:rPr>
                            </w:pPr>
                            <w:r>
                              <w:rPr>
                                <w:rFonts w:ascii="Arial" w:hAnsi="Arial" w:cs="Arial"/>
                              </w:rPr>
                              <w:t xml:space="preserve">                  Emerson Ernesto da Costa e Silva</w:t>
                            </w:r>
                          </w:p>
                          <w:p w14:paraId="4FB7653A" w14:textId="77777777" w:rsidR="00604D6A" w:rsidRPr="00816307" w:rsidRDefault="00604D6A" w:rsidP="00604D6A">
                            <w:pPr>
                              <w:jc w:val="center"/>
                              <w:rPr>
                                <w:rFonts w:ascii="Arial" w:hAnsi="Arial" w:cs="Arial"/>
                              </w:rPr>
                            </w:pPr>
                            <w:r w:rsidRPr="005002EA">
                              <w:rPr>
                                <w:rFonts w:ascii="Arial" w:hAnsi="Arial" w:cs="Arial"/>
                              </w:rPr>
                              <w:t>Membro da Comissão Permanente de Licitação</w:t>
                            </w:r>
                          </w:p>
                          <w:p w14:paraId="49B343A0" w14:textId="77777777" w:rsidR="00604D6A" w:rsidRDefault="00604D6A" w:rsidP="00604D6A">
                            <w:pPr>
                              <w:rPr>
                                <w:rFonts w:ascii="Arial" w:hAnsi="Arial" w:cs="Arial"/>
                              </w:rPr>
                            </w:pPr>
                            <w:r>
                              <w:rPr>
                                <w:rFonts w:ascii="Arial" w:hAnsi="Arial" w:cs="Arial"/>
                              </w:rPr>
                              <w:t xml:space="preserve">                              Matrícula - 3038</w:t>
                            </w:r>
                          </w:p>
                          <w:p w14:paraId="7D363DFE" w14:textId="77777777" w:rsidR="00604D6A" w:rsidRDefault="00604D6A" w:rsidP="00604D6A">
                            <w:pPr>
                              <w:rPr>
                                <w:rFonts w:ascii="Arial" w:hAnsi="Arial" w:cs="Arial"/>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8D60705" id="_x0000_t202" coordsize="21600,21600" o:spt="202" path="m,l,21600r21600,l21600,xe">
                <v:stroke joinstyle="miter"/>
                <v:path gradientshapeok="t" o:connecttype="rect"/>
              </v:shapetype>
              <v:shape id="Caixa de Texto 2" o:spid="_x0000_s1026" type="#_x0000_t202" style="position:absolute;left:0;text-align:left;margin-left:222.45pt;margin-top:1.4pt;width:282.75pt;height:110.5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" strokecolor="white [3212]">
                <v:textbox style="mso-fit-shape-to-text:t">
                  <w:txbxContent>
                    <w:p w14:paraId="5B4A62A6" w14:textId="77777777" w:rsidR="00604D6A" w:rsidRPr="00FE0E2E" w:rsidRDefault="00604D6A" w:rsidP="00604D6A">
                      <w:pPr>
                        <w:rPr>
                          <w:rFonts w:ascii="Arial" w:hAnsi="Arial" w:cs="Arial"/>
                        </w:rPr>
                      </w:pPr>
                      <w:r>
                        <w:rPr>
                          <w:rFonts w:ascii="Arial" w:hAnsi="Arial" w:cs="Arial"/>
                        </w:rPr>
                        <w:t xml:space="preserve">                  Emerson Ernesto da Costa e Silva</w:t>
                      </w:r>
                    </w:p>
                    <w:p w14:paraId="4FB7653A" w14:textId="77777777" w:rsidR="00604D6A" w:rsidRPr="00816307" w:rsidRDefault="00604D6A" w:rsidP="00604D6A">
                      <w:pPr>
                        <w:jc w:val="center"/>
                        <w:rPr>
                          <w:rFonts w:ascii="Arial" w:hAnsi="Arial" w:cs="Arial"/>
                        </w:rPr>
                      </w:pPr>
                      <w:r w:rsidRPr="005002EA">
                        <w:rPr>
                          <w:rFonts w:ascii="Arial" w:hAnsi="Arial" w:cs="Arial"/>
                        </w:rPr>
                        <w:t>Membro da Comissão Permanente de Licitação</w:t>
                      </w:r>
                    </w:p>
                    <w:p w14:paraId="49B343A0" w14:textId="77777777" w:rsidR="00604D6A" w:rsidRDefault="00604D6A" w:rsidP="00604D6A">
                      <w:pPr>
                        <w:rPr>
                          <w:rFonts w:ascii="Arial" w:hAnsi="Arial" w:cs="Arial"/>
                        </w:rPr>
                      </w:pPr>
                      <w:r>
                        <w:rPr>
                          <w:rFonts w:ascii="Arial" w:hAnsi="Arial" w:cs="Arial"/>
                        </w:rPr>
                        <w:t xml:space="preserve">                              Matrícula - 3038</w:t>
                      </w:r>
                    </w:p>
                    <w:p w14:paraId="7D363DFE" w14:textId="77777777" w:rsidR="00604D6A" w:rsidRDefault="00604D6A" w:rsidP="00604D6A">
                      <w:pPr>
                        <w:rPr>
                          <w:rFonts w:ascii="Arial" w:hAnsi="Arial" w:cs="Arial"/>
                        </w:rPr>
                      </w:pPr>
                    </w:p>
                  </w:txbxContent>
                </v:textbox>
              </v:shape>
            </w:pict>
          </mc:Fallback>
        </mc:AlternateContent>
      </w:r>
      <w:r w:rsidRPr="00FE0E2E">
        <w:rPr>
          <w:rFonts w:ascii="Arial" w:hAnsi="Arial" w:cs="Arial"/>
          <w:noProof/>
          <w:sz w:val="16"/>
          <w:szCs w:val="16"/>
        </w:rPr>
        <mc:AlternateContent>
          <mc:Choice Requires="wps">
            <w:drawing>
              <wp:anchor distT="0" distB="0" distL="114300" distR="114300" simplePos="0" relativeHeight="251659264" behindDoc="0" locked="0" layoutInCell="1" allowOverlap="1" wp14:anchorId="6F98B77C" wp14:editId="50C40ED3">
                <wp:simplePos x="0" y="0"/>
                <wp:positionH relativeFrom="column">
                  <wp:posOffset>-803910</wp:posOffset>
                </wp:positionH>
                <wp:positionV relativeFrom="paragraph">
                  <wp:posOffset>19685</wp:posOffset>
                </wp:positionV>
                <wp:extent cx="3752850" cy="1403985"/>
                <wp:effectExtent l="0" t="0" r="19050" b="21590"/>
                <wp:wrapNone/>
                <wp:docPr id="30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2850" cy="1403985"/>
                        </a:xfrm>
                        <a:prstGeom prst="rect">
                          <a:avLst/>
                        </a:prstGeom>
                        <a:solidFill>
                          <a:srgbClr val="FFFFFF"/>
                        </a:solidFill>
                        <a:ln w="9525">
                          <a:solidFill>
                            <a:schemeClr val="bg1"/>
                          </a:solidFill>
                          <a:miter lim="800000"/>
                          <a:headEnd/>
                          <a:tailEnd/>
                        </a:ln>
                      </wps:spPr>
                      <wps:txbx>
                        <w:txbxContent>
                          <w:p w14:paraId="24F5368E" w14:textId="77777777" w:rsidR="00604D6A" w:rsidRPr="00FE0E2E" w:rsidRDefault="00604D6A" w:rsidP="00604D6A">
                            <w:pPr>
                              <w:jc w:val="center"/>
                              <w:rPr>
                                <w:rFonts w:ascii="Arial" w:hAnsi="Arial" w:cs="Arial"/>
                              </w:rPr>
                            </w:pPr>
                            <w:r>
                              <w:rPr>
                                <w:rFonts w:ascii="Arial" w:hAnsi="Arial" w:cs="Arial"/>
                              </w:rPr>
                              <w:t>Jade Reis da Silva</w:t>
                            </w:r>
                          </w:p>
                          <w:p w14:paraId="6E3AB409" w14:textId="77777777" w:rsidR="00604D6A" w:rsidRPr="005002EA" w:rsidRDefault="00604D6A" w:rsidP="00604D6A">
                            <w:pPr>
                              <w:jc w:val="center"/>
                              <w:rPr>
                                <w:rFonts w:ascii="Arial" w:hAnsi="Arial" w:cs="Arial"/>
                              </w:rPr>
                            </w:pPr>
                            <w:r>
                              <w:rPr>
                                <w:rFonts w:ascii="Arial" w:hAnsi="Arial" w:cs="Arial"/>
                              </w:rPr>
                              <w:t>Membro</w:t>
                            </w:r>
                            <w:r w:rsidRPr="005002EA">
                              <w:rPr>
                                <w:rFonts w:ascii="Arial" w:hAnsi="Arial" w:cs="Arial"/>
                              </w:rPr>
                              <w:t xml:space="preserve"> da Comissão Permanente de Licitação</w:t>
                            </w:r>
                          </w:p>
                          <w:p w14:paraId="5D199DED" w14:textId="77777777" w:rsidR="00604D6A" w:rsidRDefault="00604D6A" w:rsidP="00604D6A">
                            <w:pPr>
                              <w:jc w:val="center"/>
                              <w:rPr>
                                <w:rFonts w:ascii="Arial" w:hAnsi="Arial" w:cs="Arial"/>
                              </w:rPr>
                            </w:pPr>
                            <w:r>
                              <w:rPr>
                                <w:rFonts w:ascii="Arial" w:hAnsi="Arial" w:cs="Arial"/>
                              </w:rPr>
                              <w:t>Matrícula - 3083</w:t>
                            </w:r>
                          </w:p>
                          <w:p w14:paraId="3ACC733A" w14:textId="77777777" w:rsidR="00604D6A" w:rsidRDefault="00604D6A" w:rsidP="00604D6A">
                            <w:pPr>
                              <w:jc w:val="center"/>
                              <w:rPr>
                                <w:rFonts w:ascii="Arial" w:hAnsi="Arial" w:cs="Arial"/>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F98B77C" id="_x0000_s1027" type="#_x0000_t202" style="position:absolute;left:0;text-align:left;margin-left:-63.3pt;margin-top:1.55pt;width:295.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" strokecolor="white [3212]">
                <v:textbox style="mso-fit-shape-to-text:t">
                  <w:txbxContent>
                    <w:p w14:paraId="24F5368E" w14:textId="77777777" w:rsidR="00604D6A" w:rsidRPr="00FE0E2E" w:rsidRDefault="00604D6A" w:rsidP="00604D6A">
                      <w:pPr>
                        <w:jc w:val="center"/>
                        <w:rPr>
                          <w:rFonts w:ascii="Arial" w:hAnsi="Arial" w:cs="Arial"/>
                        </w:rPr>
                      </w:pPr>
                      <w:r>
                        <w:rPr>
                          <w:rFonts w:ascii="Arial" w:hAnsi="Arial" w:cs="Arial"/>
                        </w:rPr>
                        <w:t>Jade Reis da Silva</w:t>
                      </w:r>
                    </w:p>
                    <w:p w14:paraId="6E3AB409" w14:textId="77777777" w:rsidR="00604D6A" w:rsidRPr="005002EA" w:rsidRDefault="00604D6A" w:rsidP="00604D6A">
                      <w:pPr>
                        <w:jc w:val="center"/>
                        <w:rPr>
                          <w:rFonts w:ascii="Arial" w:hAnsi="Arial" w:cs="Arial"/>
                        </w:rPr>
                      </w:pPr>
                      <w:r>
                        <w:rPr>
                          <w:rFonts w:ascii="Arial" w:hAnsi="Arial" w:cs="Arial"/>
                        </w:rPr>
                        <w:t>Membro</w:t>
                      </w:r>
                      <w:r w:rsidRPr="005002EA">
                        <w:rPr>
                          <w:rFonts w:ascii="Arial" w:hAnsi="Arial" w:cs="Arial"/>
                        </w:rPr>
                        <w:t xml:space="preserve"> da Comissão Permanente de Licitação</w:t>
                      </w:r>
                    </w:p>
                    <w:p w14:paraId="5D199DED" w14:textId="77777777" w:rsidR="00604D6A" w:rsidRDefault="00604D6A" w:rsidP="00604D6A">
                      <w:pPr>
                        <w:jc w:val="center"/>
                        <w:rPr>
                          <w:rFonts w:ascii="Arial" w:hAnsi="Arial" w:cs="Arial"/>
                        </w:rPr>
                      </w:pPr>
                      <w:r>
                        <w:rPr>
                          <w:rFonts w:ascii="Arial" w:hAnsi="Arial" w:cs="Arial"/>
                        </w:rPr>
                        <w:t>Matrícula - 3083</w:t>
                      </w:r>
                    </w:p>
                    <w:p w14:paraId="3ACC733A" w14:textId="77777777" w:rsidR="00604D6A" w:rsidRDefault="00604D6A" w:rsidP="00604D6A">
                      <w:pPr>
                        <w:jc w:val="center"/>
                        <w:rPr>
                          <w:rFonts w:ascii="Arial" w:hAnsi="Arial" w:cs="Arial"/>
                        </w:rPr>
                      </w:pPr>
                    </w:p>
                  </w:txbxContent>
                </v:textbox>
              </v:shape>
            </w:pict>
          </mc:Fallback>
        </mc:AlternateContent>
      </w:r>
    </w:p>
    <w:p w14:paraId="3E893639" w14:textId="77777777" w:rsidR="00604D6A" w:rsidRDefault="00604D6A" w:rsidP="00604D6A">
      <w:pPr>
        <w:jc w:val="center"/>
      </w:pPr>
    </w:p>
    <w:p w14:paraId="30F20BFD" w14:textId="77777777" w:rsidR="00604D6A" w:rsidRDefault="00604D6A" w:rsidP="00604D6A"/>
    <w:p w14:paraId="50C2B63C" w14:textId="77777777" w:rsidR="00604D6A" w:rsidRDefault="00604D6A" w:rsidP="00604D6A">
      <w:pPr>
        <w:jc w:val="center"/>
      </w:pPr>
    </w:p>
    <w:p w14:paraId="5FF9951D" w14:textId="78CFE9D4" w:rsidR="00652BBF" w:rsidRDefault="00652BBF" w:rsidP="00604D6A">
      <w:pPr>
        <w:jc w:val="center"/>
      </w:pPr>
    </w:p>
    <w:sectPr w:rsidR="00652BBF" w:rsidSect="007C305F">
      <w:headerReference w:type="default" r:id="rId10"/>
      <w:footerReference w:type="default" r:id="rId11"/>
      <w:pgSz w:w="11907" w:h="16840" w:code="9"/>
      <w:pgMar w:top="1985" w:right="1134" w:bottom="1531" w:left="1701" w:header="851" w:footer="851" w:gutter="0"/>
      <w:cols w:space="708"/>
      <w:docGrid w:linePitch="2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46F706" w14:textId="77777777" w:rsidR="00C67D7D" w:rsidRDefault="00C67D7D">
      <w:r>
        <w:separator/>
      </w:r>
    </w:p>
  </w:endnote>
  <w:endnote w:type="continuationSeparator" w:id="0">
    <w:p w14:paraId="2E09F2BA" w14:textId="77777777" w:rsidR="00C67D7D" w:rsidRDefault="00C67D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20"/>
        <w:szCs w:val="20"/>
      </w:rPr>
      <w:id w:val="-859507177"/>
      <w:docPartObj>
        <w:docPartGallery w:val="Page Numbers (Bottom of Page)"/>
        <w:docPartUnique/>
      </w:docPartObj>
    </w:sdtPr>
    <w:sdtEndPr/>
    <w:sdtContent>
      <w:p w14:paraId="0BD7FC70" w14:textId="77777777" w:rsidR="005976E7" w:rsidRPr="004E0C0A" w:rsidRDefault="00B1259F">
        <w:pPr>
          <w:pStyle w:val="Rodap"/>
          <w:jc w:val="right"/>
          <w:rPr>
            <w:rFonts w:ascii="Arial" w:hAnsi="Arial" w:cs="Arial"/>
            <w:sz w:val="20"/>
            <w:szCs w:val="20"/>
          </w:rPr>
        </w:pPr>
        <w:r w:rsidRPr="004E0C0A">
          <w:rPr>
            <w:rFonts w:ascii="Arial" w:hAnsi="Arial" w:cs="Arial"/>
            <w:sz w:val="20"/>
            <w:szCs w:val="20"/>
          </w:rPr>
          <w:fldChar w:fldCharType="begin"/>
        </w:r>
        <w:r w:rsidRPr="004E0C0A">
          <w:rPr>
            <w:rFonts w:ascii="Arial" w:hAnsi="Arial" w:cs="Arial"/>
            <w:sz w:val="20"/>
            <w:szCs w:val="20"/>
          </w:rPr>
          <w:instrText>PAGE   \* MERGEFORMAT</w:instrText>
        </w:r>
        <w:r w:rsidRPr="004E0C0A">
          <w:rPr>
            <w:rFonts w:ascii="Arial" w:hAnsi="Arial" w:cs="Arial"/>
            <w:sz w:val="20"/>
            <w:szCs w:val="20"/>
          </w:rPr>
          <w:fldChar w:fldCharType="separate"/>
        </w:r>
        <w:r w:rsidR="00604D6A">
          <w:rPr>
            <w:rFonts w:ascii="Arial" w:hAnsi="Arial" w:cs="Arial"/>
            <w:noProof/>
            <w:sz w:val="20"/>
            <w:szCs w:val="20"/>
          </w:rPr>
          <w:t>3</w:t>
        </w:r>
        <w:r w:rsidRPr="004E0C0A">
          <w:rPr>
            <w:rFonts w:ascii="Arial" w:hAnsi="Arial" w:cs="Arial"/>
            <w:sz w:val="20"/>
            <w:szCs w:val="20"/>
          </w:rPr>
          <w:fldChar w:fldCharType="end"/>
        </w:r>
      </w:p>
    </w:sdtContent>
  </w:sdt>
  <w:p w14:paraId="77FC0995" w14:textId="77777777" w:rsidR="005976E7" w:rsidRDefault="00C67D7D">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BD9129" w14:textId="77777777" w:rsidR="00C67D7D" w:rsidRDefault="00C67D7D">
      <w:r>
        <w:separator/>
      </w:r>
    </w:p>
  </w:footnote>
  <w:footnote w:type="continuationSeparator" w:id="0">
    <w:p w14:paraId="6BE90E8F" w14:textId="77777777" w:rsidR="00C67D7D" w:rsidRDefault="00C67D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45B352" w14:textId="35CDD41D" w:rsidR="00946295" w:rsidRDefault="00C67D7D" w:rsidP="00816307">
    <w:pPr>
      <w:tabs>
        <w:tab w:val="center" w:pos="4419"/>
        <w:tab w:val="right" w:pos="8838"/>
      </w:tabs>
      <w:jc w:val="center"/>
      <w:rPr>
        <w:rFonts w:ascii="Arial" w:hAnsi="Arial" w:cs="Arial"/>
        <w:b/>
        <w:sz w:val="22"/>
        <w:szCs w:val="22"/>
      </w:rPr>
    </w:pPr>
    <w:r>
      <w:rPr>
        <w:rFonts w:ascii="Arial" w:hAnsi="Arial" w:cs="Arial"/>
        <w:noProof/>
        <w:sz w:val="22"/>
        <w:szCs w:val="22"/>
      </w:rPr>
      <w:object w:dxaOrig="1440" w:dyaOrig="1440" w14:anchorId="05C508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29.25pt;margin-top:-8.4pt;width:60.45pt;height:64.9pt;z-index:-251658752" wrapcoords="-267 0 -267 21352 21600 21352 21600 0 -267 0">
          <v:imagedata r:id="rId1" o:title=""/>
          <w10:wrap type="through"/>
        </v:shape>
        <o:OLEObject Type="Embed" ProgID="PBrush" ShapeID="_x0000_s2049" DrawAspect="Content" ObjectID="_1715680927" r:id="rId2"/>
      </w:object>
    </w:r>
    <w:r w:rsidR="00B1259F" w:rsidRPr="00BB6AB8">
      <w:rPr>
        <w:rFonts w:ascii="Arial" w:hAnsi="Arial" w:cs="Arial"/>
        <w:b/>
        <w:sz w:val="22"/>
        <w:szCs w:val="22"/>
      </w:rPr>
      <w:t>MUN</w:t>
    </w:r>
    <w:r w:rsidR="00321C1D">
      <w:rPr>
        <w:rFonts w:ascii="Arial" w:hAnsi="Arial" w:cs="Arial"/>
        <w:b/>
        <w:sz w:val="22"/>
        <w:szCs w:val="22"/>
      </w:rPr>
      <w:t>ICÍPIO DE PERDIGÃO - 2021/2024</w:t>
    </w:r>
  </w:p>
  <w:p w14:paraId="1AFD2E74" w14:textId="43FD9894" w:rsidR="00946295" w:rsidRDefault="00B1259F" w:rsidP="00946295">
    <w:pPr>
      <w:tabs>
        <w:tab w:val="center" w:pos="4419"/>
        <w:tab w:val="right" w:pos="8838"/>
      </w:tabs>
      <w:jc w:val="center"/>
      <w:rPr>
        <w:rFonts w:ascii="Arial" w:hAnsi="Arial" w:cs="Arial"/>
        <w:sz w:val="22"/>
        <w:szCs w:val="22"/>
      </w:rPr>
    </w:pPr>
    <w:r w:rsidRPr="00BB6AB8">
      <w:rPr>
        <w:rFonts w:ascii="Arial" w:hAnsi="Arial" w:cs="Arial"/>
        <w:sz w:val="22"/>
        <w:szCs w:val="22"/>
      </w:rPr>
      <w:t xml:space="preserve">Av. Santa Rita, 150 </w:t>
    </w:r>
    <w:r>
      <w:rPr>
        <w:rFonts w:ascii="Arial" w:hAnsi="Arial" w:cs="Arial"/>
        <w:sz w:val="22"/>
        <w:szCs w:val="22"/>
      </w:rPr>
      <w:t>-</w:t>
    </w:r>
    <w:r w:rsidR="001630F5">
      <w:rPr>
        <w:rFonts w:ascii="Arial" w:hAnsi="Arial" w:cs="Arial"/>
        <w:sz w:val="22"/>
        <w:szCs w:val="22"/>
      </w:rPr>
      <w:t xml:space="preserve"> Centro - Perdigão/</w:t>
    </w:r>
    <w:r w:rsidRPr="00BB6AB8">
      <w:rPr>
        <w:rFonts w:ascii="Arial" w:hAnsi="Arial" w:cs="Arial"/>
        <w:sz w:val="22"/>
        <w:szCs w:val="22"/>
      </w:rPr>
      <w:t xml:space="preserve">MG </w:t>
    </w:r>
    <w:r>
      <w:rPr>
        <w:rFonts w:ascii="Arial" w:hAnsi="Arial" w:cs="Arial"/>
        <w:sz w:val="22"/>
        <w:szCs w:val="22"/>
      </w:rPr>
      <w:t>- CNPJ: 18.301.051/0001-19</w:t>
    </w:r>
  </w:p>
  <w:p w14:paraId="7DEBCD90" w14:textId="03B3625E" w:rsidR="00946295" w:rsidRPr="00BB6AB8" w:rsidRDefault="00321C1D" w:rsidP="00946295">
    <w:pPr>
      <w:tabs>
        <w:tab w:val="center" w:pos="4419"/>
        <w:tab w:val="right" w:pos="8838"/>
      </w:tabs>
      <w:jc w:val="center"/>
      <w:rPr>
        <w:rFonts w:ascii="Arial" w:hAnsi="Arial" w:cs="Arial"/>
        <w:sz w:val="22"/>
        <w:szCs w:val="22"/>
      </w:rPr>
    </w:pPr>
    <w:r>
      <w:rPr>
        <w:rFonts w:ascii="Arial" w:hAnsi="Arial" w:cs="Arial"/>
        <w:sz w:val="22"/>
        <w:szCs w:val="22"/>
      </w:rPr>
      <w:t>Tel.</w:t>
    </w:r>
    <w:r w:rsidR="00BD4F28">
      <w:rPr>
        <w:rFonts w:ascii="Arial" w:hAnsi="Arial" w:cs="Arial"/>
        <w:sz w:val="22"/>
        <w:szCs w:val="22"/>
      </w:rPr>
      <w:t>: (37) 3287-1030 E</w:t>
    </w:r>
    <w:r w:rsidR="00B1259F">
      <w:rPr>
        <w:rFonts w:ascii="Arial" w:hAnsi="Arial" w:cs="Arial"/>
        <w:sz w:val="22"/>
        <w:szCs w:val="22"/>
      </w:rPr>
      <w:t>-</w:t>
    </w:r>
    <w:r w:rsidR="00B1259F" w:rsidRPr="00BB6AB8">
      <w:rPr>
        <w:rFonts w:ascii="Arial" w:hAnsi="Arial" w:cs="Arial"/>
        <w:sz w:val="22"/>
        <w:szCs w:val="22"/>
      </w:rPr>
      <w:t>mail: pref</w:t>
    </w:r>
    <w:r w:rsidR="00B1259F">
      <w:rPr>
        <w:rFonts w:ascii="Arial" w:hAnsi="Arial" w:cs="Arial"/>
        <w:sz w:val="22"/>
        <w:szCs w:val="22"/>
      </w:rPr>
      <w:t>eitura</w:t>
    </w:r>
    <w:r>
      <w:rPr>
        <w:rFonts w:ascii="Arial" w:hAnsi="Arial" w:cs="Arial"/>
        <w:sz w:val="22"/>
        <w:szCs w:val="22"/>
      </w:rPr>
      <w:t>de</w:t>
    </w:r>
    <w:r w:rsidR="00B1259F" w:rsidRPr="00BB6AB8">
      <w:rPr>
        <w:rFonts w:ascii="Arial" w:hAnsi="Arial" w:cs="Arial"/>
        <w:sz w:val="22"/>
        <w:szCs w:val="22"/>
      </w:rPr>
      <w:t>perdigao</w:t>
    </w:r>
    <w:r>
      <w:rPr>
        <w:rFonts w:ascii="Arial" w:hAnsi="Arial" w:cs="Arial"/>
        <w:sz w:val="22"/>
        <w:szCs w:val="22"/>
      </w:rPr>
      <w:t>gabinete@gmail.</w:t>
    </w:r>
    <w:r w:rsidR="00B1259F" w:rsidRPr="00BB6AB8">
      <w:rPr>
        <w:rFonts w:ascii="Arial" w:hAnsi="Arial" w:cs="Arial"/>
        <w:sz w:val="22"/>
        <w:szCs w:val="22"/>
      </w:rPr>
      <w:t>com.br</w:t>
    </w:r>
  </w:p>
  <w:p w14:paraId="5A39FAB5" w14:textId="77777777" w:rsidR="00946295" w:rsidRPr="00D45FDD" w:rsidRDefault="00C67D7D" w:rsidP="00946295">
    <w:pPr>
      <w:pStyle w:val="Cabealho"/>
    </w:pPr>
  </w:p>
  <w:p w14:paraId="7D53D315" w14:textId="77777777" w:rsidR="00946295" w:rsidRDefault="00C67D7D">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634"/>
    <w:rsid w:val="0000773D"/>
    <w:rsid w:val="00030312"/>
    <w:rsid w:val="00034B56"/>
    <w:rsid w:val="000525AC"/>
    <w:rsid w:val="00074F57"/>
    <w:rsid w:val="000818B1"/>
    <w:rsid w:val="000D66FA"/>
    <w:rsid w:val="000F1741"/>
    <w:rsid w:val="001104FE"/>
    <w:rsid w:val="001121CF"/>
    <w:rsid w:val="001134C6"/>
    <w:rsid w:val="00127689"/>
    <w:rsid w:val="00151E1F"/>
    <w:rsid w:val="00157520"/>
    <w:rsid w:val="0015797C"/>
    <w:rsid w:val="001630F5"/>
    <w:rsid w:val="001841F7"/>
    <w:rsid w:val="0019469F"/>
    <w:rsid w:val="001A4513"/>
    <w:rsid w:val="001C7472"/>
    <w:rsid w:val="001E4B3F"/>
    <w:rsid w:val="00221994"/>
    <w:rsid w:val="002321A4"/>
    <w:rsid w:val="002335C7"/>
    <w:rsid w:val="00236177"/>
    <w:rsid w:val="002370D6"/>
    <w:rsid w:val="00246892"/>
    <w:rsid w:val="002528F3"/>
    <w:rsid w:val="00276119"/>
    <w:rsid w:val="002A5E6F"/>
    <w:rsid w:val="002B0989"/>
    <w:rsid w:val="002D768F"/>
    <w:rsid w:val="002F3FDD"/>
    <w:rsid w:val="003114E7"/>
    <w:rsid w:val="00321C1D"/>
    <w:rsid w:val="0033299D"/>
    <w:rsid w:val="00365971"/>
    <w:rsid w:val="00367C22"/>
    <w:rsid w:val="003701F4"/>
    <w:rsid w:val="003730C0"/>
    <w:rsid w:val="0039015E"/>
    <w:rsid w:val="003A5D75"/>
    <w:rsid w:val="003A7040"/>
    <w:rsid w:val="003C3BFA"/>
    <w:rsid w:val="00434D60"/>
    <w:rsid w:val="00454691"/>
    <w:rsid w:val="00461CA2"/>
    <w:rsid w:val="004A0081"/>
    <w:rsid w:val="004B1F65"/>
    <w:rsid w:val="004D6353"/>
    <w:rsid w:val="00530680"/>
    <w:rsid w:val="005320A4"/>
    <w:rsid w:val="00537901"/>
    <w:rsid w:val="00560191"/>
    <w:rsid w:val="005907F7"/>
    <w:rsid w:val="005C2634"/>
    <w:rsid w:val="00604D6A"/>
    <w:rsid w:val="006123D3"/>
    <w:rsid w:val="006150D8"/>
    <w:rsid w:val="006262BF"/>
    <w:rsid w:val="00652BBF"/>
    <w:rsid w:val="006544D0"/>
    <w:rsid w:val="006660D4"/>
    <w:rsid w:val="0068535F"/>
    <w:rsid w:val="00685489"/>
    <w:rsid w:val="006E6EF4"/>
    <w:rsid w:val="006F6131"/>
    <w:rsid w:val="007120F8"/>
    <w:rsid w:val="00721B50"/>
    <w:rsid w:val="00725116"/>
    <w:rsid w:val="00731199"/>
    <w:rsid w:val="007319DE"/>
    <w:rsid w:val="007376F8"/>
    <w:rsid w:val="00752A1E"/>
    <w:rsid w:val="007532D9"/>
    <w:rsid w:val="00753848"/>
    <w:rsid w:val="0076146D"/>
    <w:rsid w:val="007621D4"/>
    <w:rsid w:val="00774874"/>
    <w:rsid w:val="00775467"/>
    <w:rsid w:val="00785350"/>
    <w:rsid w:val="007B06FE"/>
    <w:rsid w:val="007C2A7C"/>
    <w:rsid w:val="008161F2"/>
    <w:rsid w:val="00853CB9"/>
    <w:rsid w:val="008944B2"/>
    <w:rsid w:val="008977AD"/>
    <w:rsid w:val="008A0349"/>
    <w:rsid w:val="008B43E2"/>
    <w:rsid w:val="008D2FE4"/>
    <w:rsid w:val="008D4ED4"/>
    <w:rsid w:val="00930D89"/>
    <w:rsid w:val="009412BD"/>
    <w:rsid w:val="00941D77"/>
    <w:rsid w:val="0096110D"/>
    <w:rsid w:val="009915CC"/>
    <w:rsid w:val="009974C8"/>
    <w:rsid w:val="009D5EFC"/>
    <w:rsid w:val="009E12CA"/>
    <w:rsid w:val="00A05F7E"/>
    <w:rsid w:val="00A266B1"/>
    <w:rsid w:val="00A3124D"/>
    <w:rsid w:val="00A37F3C"/>
    <w:rsid w:val="00A56DF0"/>
    <w:rsid w:val="00A70036"/>
    <w:rsid w:val="00AB4818"/>
    <w:rsid w:val="00AC3DFE"/>
    <w:rsid w:val="00B0400A"/>
    <w:rsid w:val="00B1259F"/>
    <w:rsid w:val="00B34811"/>
    <w:rsid w:val="00B46AD8"/>
    <w:rsid w:val="00B542B0"/>
    <w:rsid w:val="00B77149"/>
    <w:rsid w:val="00B77E49"/>
    <w:rsid w:val="00BA0B57"/>
    <w:rsid w:val="00BC62A2"/>
    <w:rsid w:val="00BD4F28"/>
    <w:rsid w:val="00C50EF3"/>
    <w:rsid w:val="00C67BA3"/>
    <w:rsid w:val="00C67D7D"/>
    <w:rsid w:val="00C73918"/>
    <w:rsid w:val="00CB16C3"/>
    <w:rsid w:val="00CC510E"/>
    <w:rsid w:val="00CE6B4A"/>
    <w:rsid w:val="00D32D70"/>
    <w:rsid w:val="00D61A43"/>
    <w:rsid w:val="00D65BC5"/>
    <w:rsid w:val="00D70CF6"/>
    <w:rsid w:val="00D76D35"/>
    <w:rsid w:val="00D82D70"/>
    <w:rsid w:val="00D97DA1"/>
    <w:rsid w:val="00DD0A26"/>
    <w:rsid w:val="00DD22DF"/>
    <w:rsid w:val="00DD3113"/>
    <w:rsid w:val="00DE7BB3"/>
    <w:rsid w:val="00E04CDB"/>
    <w:rsid w:val="00E50DA8"/>
    <w:rsid w:val="00E771DD"/>
    <w:rsid w:val="00E85370"/>
    <w:rsid w:val="00E93E14"/>
    <w:rsid w:val="00EA4BAB"/>
    <w:rsid w:val="00EA6829"/>
    <w:rsid w:val="00EB5631"/>
    <w:rsid w:val="00EB7ECB"/>
    <w:rsid w:val="00EF2628"/>
    <w:rsid w:val="00F721C8"/>
    <w:rsid w:val="00F9439C"/>
    <w:rsid w:val="00FB2CFB"/>
    <w:rsid w:val="00FE0E2E"/>
    <w:rsid w:val="00FE37A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6FB06C9"/>
  <w15:docId w15:val="{7CFC4919-EE8D-4DCA-9542-333766C60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2634"/>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5C2634"/>
    <w:pPr>
      <w:tabs>
        <w:tab w:val="center" w:pos="4252"/>
        <w:tab w:val="right" w:pos="8504"/>
      </w:tabs>
    </w:pPr>
  </w:style>
  <w:style w:type="character" w:customStyle="1" w:styleId="CabealhoChar">
    <w:name w:val="Cabeçalho Char"/>
    <w:basedOn w:val="Fontepargpadro"/>
    <w:link w:val="Cabealho"/>
    <w:rsid w:val="005C2634"/>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5C2634"/>
    <w:pPr>
      <w:tabs>
        <w:tab w:val="center" w:pos="4252"/>
        <w:tab w:val="right" w:pos="8504"/>
      </w:tabs>
    </w:pPr>
  </w:style>
  <w:style w:type="character" w:customStyle="1" w:styleId="RodapChar">
    <w:name w:val="Rodapé Char"/>
    <w:basedOn w:val="Fontepargpadro"/>
    <w:link w:val="Rodap"/>
    <w:uiPriority w:val="99"/>
    <w:rsid w:val="005C2634"/>
    <w:rPr>
      <w:rFonts w:ascii="Times New Roman" w:eastAsia="Times New Roman" w:hAnsi="Times New Roman" w:cs="Times New Roman"/>
      <w:sz w:val="24"/>
      <w:szCs w:val="24"/>
      <w:lang w:eastAsia="pt-BR"/>
    </w:rPr>
  </w:style>
  <w:style w:type="paragraph" w:customStyle="1" w:styleId="Padro">
    <w:name w:val="Padrão"/>
    <w:rsid w:val="005C2634"/>
    <w:pPr>
      <w:snapToGrid w:val="0"/>
      <w:spacing w:after="0" w:line="240" w:lineRule="auto"/>
    </w:pPr>
    <w:rPr>
      <w:rFonts w:ascii="Times New Roman" w:eastAsia="Times New Roman" w:hAnsi="Times New Roman" w:cs="Times New Roman"/>
      <w:sz w:val="24"/>
      <w:szCs w:val="20"/>
      <w:lang w:eastAsia="pt-BR"/>
    </w:rPr>
  </w:style>
  <w:style w:type="paragraph" w:styleId="Textodebalo">
    <w:name w:val="Balloon Text"/>
    <w:basedOn w:val="Normal"/>
    <w:link w:val="TextodebaloChar"/>
    <w:uiPriority w:val="99"/>
    <w:semiHidden/>
    <w:unhideWhenUsed/>
    <w:rsid w:val="00FE0E2E"/>
    <w:rPr>
      <w:rFonts w:ascii="Tahoma" w:hAnsi="Tahoma" w:cs="Tahoma"/>
      <w:sz w:val="16"/>
      <w:szCs w:val="16"/>
    </w:rPr>
  </w:style>
  <w:style w:type="character" w:customStyle="1" w:styleId="TextodebaloChar">
    <w:name w:val="Texto de balão Char"/>
    <w:basedOn w:val="Fontepargpadro"/>
    <w:link w:val="Textodebalo"/>
    <w:uiPriority w:val="99"/>
    <w:semiHidden/>
    <w:rsid w:val="00FE0E2E"/>
    <w:rPr>
      <w:rFonts w:ascii="Tahoma" w:eastAsia="Times New Roman" w:hAnsi="Tahoma" w:cs="Tahoma"/>
      <w:sz w:val="16"/>
      <w:szCs w:val="16"/>
      <w:lang w:eastAsia="pt-BR"/>
    </w:rPr>
  </w:style>
  <w:style w:type="character" w:customStyle="1" w:styleId="highlight">
    <w:name w:val="highlight"/>
    <w:basedOn w:val="Fontepargpadro"/>
    <w:rsid w:val="000525AC"/>
  </w:style>
  <w:style w:type="paragraph" w:styleId="NormalWeb">
    <w:name w:val="Normal (Web)"/>
    <w:basedOn w:val="Normal"/>
    <w:uiPriority w:val="99"/>
    <w:semiHidden/>
    <w:unhideWhenUsed/>
    <w:rsid w:val="0033299D"/>
    <w:pPr>
      <w:spacing w:before="100" w:beforeAutospacing="1" w:after="100" w:afterAutospacing="1"/>
    </w:pPr>
  </w:style>
  <w:style w:type="character" w:styleId="Hyperlink">
    <w:name w:val="Hyperlink"/>
    <w:basedOn w:val="Fontepargpadro"/>
    <w:uiPriority w:val="99"/>
    <w:semiHidden/>
    <w:unhideWhenUsed/>
    <w:rsid w:val="0033299D"/>
    <w:rPr>
      <w:color w:val="0000FF"/>
      <w:u w:val="single"/>
    </w:rPr>
  </w:style>
  <w:style w:type="table" w:styleId="Tabelacomgrade">
    <w:name w:val="Table Grid"/>
    <w:basedOn w:val="Tabelanormal"/>
    <w:uiPriority w:val="59"/>
    <w:rsid w:val="007311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75023">
      <w:bodyDiv w:val="1"/>
      <w:marLeft w:val="0"/>
      <w:marRight w:val="0"/>
      <w:marTop w:val="0"/>
      <w:marBottom w:val="0"/>
      <w:divBdr>
        <w:top w:val="none" w:sz="0" w:space="0" w:color="auto"/>
        <w:left w:val="none" w:sz="0" w:space="0" w:color="auto"/>
        <w:bottom w:val="none" w:sz="0" w:space="0" w:color="auto"/>
        <w:right w:val="none" w:sz="0" w:space="0" w:color="auto"/>
      </w:divBdr>
      <w:divsChild>
        <w:div w:id="1128747021">
          <w:marLeft w:val="0"/>
          <w:marRight w:val="0"/>
          <w:marTop w:val="0"/>
          <w:marBottom w:val="0"/>
          <w:divBdr>
            <w:top w:val="none" w:sz="0" w:space="0" w:color="auto"/>
            <w:left w:val="none" w:sz="0" w:space="0" w:color="auto"/>
            <w:bottom w:val="none" w:sz="0" w:space="0" w:color="auto"/>
            <w:right w:val="none" w:sz="0" w:space="0" w:color="auto"/>
          </w:divBdr>
        </w:div>
        <w:div w:id="301692663">
          <w:marLeft w:val="0"/>
          <w:marRight w:val="0"/>
          <w:marTop w:val="0"/>
          <w:marBottom w:val="0"/>
          <w:divBdr>
            <w:top w:val="none" w:sz="0" w:space="0" w:color="auto"/>
            <w:left w:val="none" w:sz="0" w:space="0" w:color="auto"/>
            <w:bottom w:val="none" w:sz="0" w:space="0" w:color="auto"/>
            <w:right w:val="none" w:sz="0" w:space="0" w:color="auto"/>
          </w:divBdr>
        </w:div>
      </w:divsChild>
    </w:div>
    <w:div w:id="124010493">
      <w:bodyDiv w:val="1"/>
      <w:marLeft w:val="0"/>
      <w:marRight w:val="0"/>
      <w:marTop w:val="0"/>
      <w:marBottom w:val="0"/>
      <w:divBdr>
        <w:top w:val="none" w:sz="0" w:space="0" w:color="auto"/>
        <w:left w:val="none" w:sz="0" w:space="0" w:color="auto"/>
        <w:bottom w:val="none" w:sz="0" w:space="0" w:color="auto"/>
        <w:right w:val="none" w:sz="0" w:space="0" w:color="auto"/>
      </w:divBdr>
      <w:divsChild>
        <w:div w:id="736632879">
          <w:marLeft w:val="0"/>
          <w:marRight w:val="0"/>
          <w:marTop w:val="0"/>
          <w:marBottom w:val="0"/>
          <w:divBdr>
            <w:top w:val="none" w:sz="0" w:space="0" w:color="auto"/>
            <w:left w:val="none" w:sz="0" w:space="0" w:color="auto"/>
            <w:bottom w:val="none" w:sz="0" w:space="0" w:color="auto"/>
            <w:right w:val="none" w:sz="0" w:space="0" w:color="auto"/>
          </w:divBdr>
        </w:div>
        <w:div w:id="1281378599">
          <w:marLeft w:val="0"/>
          <w:marRight w:val="0"/>
          <w:marTop w:val="0"/>
          <w:marBottom w:val="0"/>
          <w:divBdr>
            <w:top w:val="none" w:sz="0" w:space="0" w:color="auto"/>
            <w:left w:val="none" w:sz="0" w:space="0" w:color="auto"/>
            <w:bottom w:val="none" w:sz="0" w:space="0" w:color="auto"/>
            <w:right w:val="none" w:sz="0" w:space="0" w:color="auto"/>
          </w:divBdr>
        </w:div>
      </w:divsChild>
    </w:div>
    <w:div w:id="280190838">
      <w:bodyDiv w:val="1"/>
      <w:marLeft w:val="0"/>
      <w:marRight w:val="0"/>
      <w:marTop w:val="0"/>
      <w:marBottom w:val="0"/>
      <w:divBdr>
        <w:top w:val="none" w:sz="0" w:space="0" w:color="auto"/>
        <w:left w:val="none" w:sz="0" w:space="0" w:color="auto"/>
        <w:bottom w:val="none" w:sz="0" w:space="0" w:color="auto"/>
        <w:right w:val="none" w:sz="0" w:space="0" w:color="auto"/>
      </w:divBdr>
      <w:divsChild>
        <w:div w:id="1897667311">
          <w:marLeft w:val="0"/>
          <w:marRight w:val="0"/>
          <w:marTop w:val="0"/>
          <w:marBottom w:val="0"/>
          <w:divBdr>
            <w:top w:val="none" w:sz="0" w:space="0" w:color="auto"/>
            <w:left w:val="none" w:sz="0" w:space="0" w:color="auto"/>
            <w:bottom w:val="none" w:sz="0" w:space="0" w:color="auto"/>
            <w:right w:val="none" w:sz="0" w:space="0" w:color="auto"/>
          </w:divBdr>
        </w:div>
        <w:div w:id="1291471868">
          <w:marLeft w:val="0"/>
          <w:marRight w:val="0"/>
          <w:marTop w:val="0"/>
          <w:marBottom w:val="0"/>
          <w:divBdr>
            <w:top w:val="none" w:sz="0" w:space="0" w:color="auto"/>
            <w:left w:val="none" w:sz="0" w:space="0" w:color="auto"/>
            <w:bottom w:val="none" w:sz="0" w:space="0" w:color="auto"/>
            <w:right w:val="none" w:sz="0" w:space="0" w:color="auto"/>
          </w:divBdr>
        </w:div>
      </w:divsChild>
    </w:div>
    <w:div w:id="535701088">
      <w:bodyDiv w:val="1"/>
      <w:marLeft w:val="0"/>
      <w:marRight w:val="0"/>
      <w:marTop w:val="0"/>
      <w:marBottom w:val="0"/>
      <w:divBdr>
        <w:top w:val="none" w:sz="0" w:space="0" w:color="auto"/>
        <w:left w:val="none" w:sz="0" w:space="0" w:color="auto"/>
        <w:bottom w:val="none" w:sz="0" w:space="0" w:color="auto"/>
        <w:right w:val="none" w:sz="0" w:space="0" w:color="auto"/>
      </w:divBdr>
      <w:divsChild>
        <w:div w:id="1106578331">
          <w:marLeft w:val="0"/>
          <w:marRight w:val="0"/>
          <w:marTop w:val="0"/>
          <w:marBottom w:val="0"/>
          <w:divBdr>
            <w:top w:val="none" w:sz="0" w:space="0" w:color="auto"/>
            <w:left w:val="none" w:sz="0" w:space="0" w:color="auto"/>
            <w:bottom w:val="none" w:sz="0" w:space="0" w:color="auto"/>
            <w:right w:val="none" w:sz="0" w:space="0" w:color="auto"/>
          </w:divBdr>
        </w:div>
        <w:div w:id="1309356737">
          <w:marLeft w:val="0"/>
          <w:marRight w:val="0"/>
          <w:marTop w:val="0"/>
          <w:marBottom w:val="0"/>
          <w:divBdr>
            <w:top w:val="none" w:sz="0" w:space="0" w:color="auto"/>
            <w:left w:val="none" w:sz="0" w:space="0" w:color="auto"/>
            <w:bottom w:val="none" w:sz="0" w:space="0" w:color="auto"/>
            <w:right w:val="none" w:sz="0" w:space="0" w:color="auto"/>
          </w:divBdr>
        </w:div>
      </w:divsChild>
    </w:div>
    <w:div w:id="545680344">
      <w:bodyDiv w:val="1"/>
      <w:marLeft w:val="0"/>
      <w:marRight w:val="0"/>
      <w:marTop w:val="0"/>
      <w:marBottom w:val="0"/>
      <w:divBdr>
        <w:top w:val="none" w:sz="0" w:space="0" w:color="auto"/>
        <w:left w:val="none" w:sz="0" w:space="0" w:color="auto"/>
        <w:bottom w:val="none" w:sz="0" w:space="0" w:color="auto"/>
        <w:right w:val="none" w:sz="0" w:space="0" w:color="auto"/>
      </w:divBdr>
      <w:divsChild>
        <w:div w:id="2131781201">
          <w:marLeft w:val="0"/>
          <w:marRight w:val="0"/>
          <w:marTop w:val="0"/>
          <w:marBottom w:val="0"/>
          <w:divBdr>
            <w:top w:val="none" w:sz="0" w:space="0" w:color="auto"/>
            <w:left w:val="none" w:sz="0" w:space="0" w:color="auto"/>
            <w:bottom w:val="none" w:sz="0" w:space="0" w:color="auto"/>
            <w:right w:val="none" w:sz="0" w:space="0" w:color="auto"/>
          </w:divBdr>
        </w:div>
        <w:div w:id="1665351949">
          <w:marLeft w:val="0"/>
          <w:marRight w:val="0"/>
          <w:marTop w:val="0"/>
          <w:marBottom w:val="0"/>
          <w:divBdr>
            <w:top w:val="none" w:sz="0" w:space="0" w:color="auto"/>
            <w:left w:val="none" w:sz="0" w:space="0" w:color="auto"/>
            <w:bottom w:val="none" w:sz="0" w:space="0" w:color="auto"/>
            <w:right w:val="none" w:sz="0" w:space="0" w:color="auto"/>
          </w:divBdr>
        </w:div>
      </w:divsChild>
    </w:div>
    <w:div w:id="572469435">
      <w:bodyDiv w:val="1"/>
      <w:marLeft w:val="0"/>
      <w:marRight w:val="0"/>
      <w:marTop w:val="0"/>
      <w:marBottom w:val="0"/>
      <w:divBdr>
        <w:top w:val="none" w:sz="0" w:space="0" w:color="auto"/>
        <w:left w:val="none" w:sz="0" w:space="0" w:color="auto"/>
        <w:bottom w:val="none" w:sz="0" w:space="0" w:color="auto"/>
        <w:right w:val="none" w:sz="0" w:space="0" w:color="auto"/>
      </w:divBdr>
      <w:divsChild>
        <w:div w:id="1293287858">
          <w:marLeft w:val="0"/>
          <w:marRight w:val="0"/>
          <w:marTop w:val="0"/>
          <w:marBottom w:val="0"/>
          <w:divBdr>
            <w:top w:val="none" w:sz="0" w:space="0" w:color="auto"/>
            <w:left w:val="none" w:sz="0" w:space="0" w:color="auto"/>
            <w:bottom w:val="none" w:sz="0" w:space="0" w:color="auto"/>
            <w:right w:val="none" w:sz="0" w:space="0" w:color="auto"/>
          </w:divBdr>
        </w:div>
        <w:div w:id="277373535">
          <w:marLeft w:val="0"/>
          <w:marRight w:val="0"/>
          <w:marTop w:val="0"/>
          <w:marBottom w:val="0"/>
          <w:divBdr>
            <w:top w:val="none" w:sz="0" w:space="0" w:color="auto"/>
            <w:left w:val="none" w:sz="0" w:space="0" w:color="auto"/>
            <w:bottom w:val="none" w:sz="0" w:space="0" w:color="auto"/>
            <w:right w:val="none" w:sz="0" w:space="0" w:color="auto"/>
          </w:divBdr>
        </w:div>
        <w:div w:id="1885749513">
          <w:marLeft w:val="0"/>
          <w:marRight w:val="0"/>
          <w:marTop w:val="0"/>
          <w:marBottom w:val="0"/>
          <w:divBdr>
            <w:top w:val="none" w:sz="0" w:space="0" w:color="auto"/>
            <w:left w:val="none" w:sz="0" w:space="0" w:color="auto"/>
            <w:bottom w:val="none" w:sz="0" w:space="0" w:color="auto"/>
            <w:right w:val="none" w:sz="0" w:space="0" w:color="auto"/>
          </w:divBdr>
        </w:div>
      </w:divsChild>
    </w:div>
    <w:div w:id="583106513">
      <w:bodyDiv w:val="1"/>
      <w:marLeft w:val="0"/>
      <w:marRight w:val="0"/>
      <w:marTop w:val="0"/>
      <w:marBottom w:val="0"/>
      <w:divBdr>
        <w:top w:val="none" w:sz="0" w:space="0" w:color="auto"/>
        <w:left w:val="none" w:sz="0" w:space="0" w:color="auto"/>
        <w:bottom w:val="none" w:sz="0" w:space="0" w:color="auto"/>
        <w:right w:val="none" w:sz="0" w:space="0" w:color="auto"/>
      </w:divBdr>
    </w:div>
    <w:div w:id="737557045">
      <w:bodyDiv w:val="1"/>
      <w:marLeft w:val="0"/>
      <w:marRight w:val="0"/>
      <w:marTop w:val="0"/>
      <w:marBottom w:val="0"/>
      <w:divBdr>
        <w:top w:val="none" w:sz="0" w:space="0" w:color="auto"/>
        <w:left w:val="none" w:sz="0" w:space="0" w:color="auto"/>
        <w:bottom w:val="none" w:sz="0" w:space="0" w:color="auto"/>
        <w:right w:val="none" w:sz="0" w:space="0" w:color="auto"/>
      </w:divBdr>
      <w:divsChild>
        <w:div w:id="2003773672">
          <w:marLeft w:val="0"/>
          <w:marRight w:val="0"/>
          <w:marTop w:val="0"/>
          <w:marBottom w:val="0"/>
          <w:divBdr>
            <w:top w:val="none" w:sz="0" w:space="0" w:color="auto"/>
            <w:left w:val="none" w:sz="0" w:space="0" w:color="auto"/>
            <w:bottom w:val="none" w:sz="0" w:space="0" w:color="auto"/>
            <w:right w:val="none" w:sz="0" w:space="0" w:color="auto"/>
          </w:divBdr>
        </w:div>
        <w:div w:id="1894390777">
          <w:marLeft w:val="0"/>
          <w:marRight w:val="0"/>
          <w:marTop w:val="0"/>
          <w:marBottom w:val="0"/>
          <w:divBdr>
            <w:top w:val="none" w:sz="0" w:space="0" w:color="auto"/>
            <w:left w:val="none" w:sz="0" w:space="0" w:color="auto"/>
            <w:bottom w:val="none" w:sz="0" w:space="0" w:color="auto"/>
            <w:right w:val="none" w:sz="0" w:space="0" w:color="auto"/>
          </w:divBdr>
        </w:div>
      </w:divsChild>
    </w:div>
    <w:div w:id="766539562">
      <w:bodyDiv w:val="1"/>
      <w:marLeft w:val="0"/>
      <w:marRight w:val="0"/>
      <w:marTop w:val="0"/>
      <w:marBottom w:val="0"/>
      <w:divBdr>
        <w:top w:val="none" w:sz="0" w:space="0" w:color="auto"/>
        <w:left w:val="none" w:sz="0" w:space="0" w:color="auto"/>
        <w:bottom w:val="none" w:sz="0" w:space="0" w:color="auto"/>
        <w:right w:val="none" w:sz="0" w:space="0" w:color="auto"/>
      </w:divBdr>
      <w:divsChild>
        <w:div w:id="1639415329">
          <w:marLeft w:val="0"/>
          <w:marRight w:val="0"/>
          <w:marTop w:val="0"/>
          <w:marBottom w:val="0"/>
          <w:divBdr>
            <w:top w:val="none" w:sz="0" w:space="0" w:color="auto"/>
            <w:left w:val="none" w:sz="0" w:space="0" w:color="auto"/>
            <w:bottom w:val="none" w:sz="0" w:space="0" w:color="auto"/>
            <w:right w:val="none" w:sz="0" w:space="0" w:color="auto"/>
          </w:divBdr>
        </w:div>
        <w:div w:id="1800297980">
          <w:marLeft w:val="0"/>
          <w:marRight w:val="0"/>
          <w:marTop w:val="0"/>
          <w:marBottom w:val="0"/>
          <w:divBdr>
            <w:top w:val="none" w:sz="0" w:space="0" w:color="auto"/>
            <w:left w:val="none" w:sz="0" w:space="0" w:color="auto"/>
            <w:bottom w:val="none" w:sz="0" w:space="0" w:color="auto"/>
            <w:right w:val="none" w:sz="0" w:space="0" w:color="auto"/>
          </w:divBdr>
        </w:div>
      </w:divsChild>
    </w:div>
    <w:div w:id="810559779">
      <w:bodyDiv w:val="1"/>
      <w:marLeft w:val="0"/>
      <w:marRight w:val="0"/>
      <w:marTop w:val="0"/>
      <w:marBottom w:val="0"/>
      <w:divBdr>
        <w:top w:val="none" w:sz="0" w:space="0" w:color="auto"/>
        <w:left w:val="none" w:sz="0" w:space="0" w:color="auto"/>
        <w:bottom w:val="none" w:sz="0" w:space="0" w:color="auto"/>
        <w:right w:val="none" w:sz="0" w:space="0" w:color="auto"/>
      </w:divBdr>
    </w:div>
    <w:div w:id="1107308766">
      <w:bodyDiv w:val="1"/>
      <w:marLeft w:val="0"/>
      <w:marRight w:val="0"/>
      <w:marTop w:val="0"/>
      <w:marBottom w:val="0"/>
      <w:divBdr>
        <w:top w:val="none" w:sz="0" w:space="0" w:color="auto"/>
        <w:left w:val="none" w:sz="0" w:space="0" w:color="auto"/>
        <w:bottom w:val="none" w:sz="0" w:space="0" w:color="auto"/>
        <w:right w:val="none" w:sz="0" w:space="0" w:color="auto"/>
      </w:divBdr>
      <w:divsChild>
        <w:div w:id="1824198944">
          <w:marLeft w:val="0"/>
          <w:marRight w:val="0"/>
          <w:marTop w:val="0"/>
          <w:marBottom w:val="0"/>
          <w:divBdr>
            <w:top w:val="none" w:sz="0" w:space="0" w:color="auto"/>
            <w:left w:val="none" w:sz="0" w:space="0" w:color="auto"/>
            <w:bottom w:val="none" w:sz="0" w:space="0" w:color="auto"/>
            <w:right w:val="none" w:sz="0" w:space="0" w:color="auto"/>
          </w:divBdr>
        </w:div>
        <w:div w:id="275647090">
          <w:marLeft w:val="0"/>
          <w:marRight w:val="0"/>
          <w:marTop w:val="0"/>
          <w:marBottom w:val="0"/>
          <w:divBdr>
            <w:top w:val="none" w:sz="0" w:space="0" w:color="auto"/>
            <w:left w:val="none" w:sz="0" w:space="0" w:color="auto"/>
            <w:bottom w:val="none" w:sz="0" w:space="0" w:color="auto"/>
            <w:right w:val="none" w:sz="0" w:space="0" w:color="auto"/>
          </w:divBdr>
        </w:div>
      </w:divsChild>
    </w:div>
    <w:div w:id="1408990609">
      <w:bodyDiv w:val="1"/>
      <w:marLeft w:val="0"/>
      <w:marRight w:val="0"/>
      <w:marTop w:val="0"/>
      <w:marBottom w:val="0"/>
      <w:divBdr>
        <w:top w:val="none" w:sz="0" w:space="0" w:color="auto"/>
        <w:left w:val="none" w:sz="0" w:space="0" w:color="auto"/>
        <w:bottom w:val="none" w:sz="0" w:space="0" w:color="auto"/>
        <w:right w:val="none" w:sz="0" w:space="0" w:color="auto"/>
      </w:divBdr>
    </w:div>
    <w:div w:id="1430081279">
      <w:bodyDiv w:val="1"/>
      <w:marLeft w:val="0"/>
      <w:marRight w:val="0"/>
      <w:marTop w:val="0"/>
      <w:marBottom w:val="0"/>
      <w:divBdr>
        <w:top w:val="none" w:sz="0" w:space="0" w:color="auto"/>
        <w:left w:val="none" w:sz="0" w:space="0" w:color="auto"/>
        <w:bottom w:val="none" w:sz="0" w:space="0" w:color="auto"/>
        <w:right w:val="none" w:sz="0" w:space="0" w:color="auto"/>
      </w:divBdr>
      <w:divsChild>
        <w:div w:id="1831868169">
          <w:marLeft w:val="0"/>
          <w:marRight w:val="0"/>
          <w:marTop w:val="0"/>
          <w:marBottom w:val="0"/>
          <w:divBdr>
            <w:top w:val="none" w:sz="0" w:space="0" w:color="auto"/>
            <w:left w:val="none" w:sz="0" w:space="0" w:color="auto"/>
            <w:bottom w:val="none" w:sz="0" w:space="0" w:color="auto"/>
            <w:right w:val="none" w:sz="0" w:space="0" w:color="auto"/>
          </w:divBdr>
        </w:div>
        <w:div w:id="1097097982">
          <w:marLeft w:val="0"/>
          <w:marRight w:val="0"/>
          <w:marTop w:val="0"/>
          <w:marBottom w:val="0"/>
          <w:divBdr>
            <w:top w:val="none" w:sz="0" w:space="0" w:color="auto"/>
            <w:left w:val="none" w:sz="0" w:space="0" w:color="auto"/>
            <w:bottom w:val="none" w:sz="0" w:space="0" w:color="auto"/>
            <w:right w:val="none" w:sz="0" w:space="0" w:color="auto"/>
          </w:divBdr>
        </w:div>
      </w:divsChild>
    </w:div>
    <w:div w:id="1438598760">
      <w:bodyDiv w:val="1"/>
      <w:marLeft w:val="0"/>
      <w:marRight w:val="0"/>
      <w:marTop w:val="0"/>
      <w:marBottom w:val="0"/>
      <w:divBdr>
        <w:top w:val="none" w:sz="0" w:space="0" w:color="auto"/>
        <w:left w:val="none" w:sz="0" w:space="0" w:color="auto"/>
        <w:bottom w:val="none" w:sz="0" w:space="0" w:color="auto"/>
        <w:right w:val="none" w:sz="0" w:space="0" w:color="auto"/>
      </w:divBdr>
      <w:divsChild>
        <w:div w:id="1548300520">
          <w:marLeft w:val="0"/>
          <w:marRight w:val="0"/>
          <w:marTop w:val="0"/>
          <w:marBottom w:val="0"/>
          <w:divBdr>
            <w:top w:val="none" w:sz="0" w:space="0" w:color="auto"/>
            <w:left w:val="none" w:sz="0" w:space="0" w:color="auto"/>
            <w:bottom w:val="none" w:sz="0" w:space="0" w:color="auto"/>
            <w:right w:val="none" w:sz="0" w:space="0" w:color="auto"/>
          </w:divBdr>
        </w:div>
        <w:div w:id="1057707610">
          <w:marLeft w:val="0"/>
          <w:marRight w:val="0"/>
          <w:marTop w:val="0"/>
          <w:marBottom w:val="0"/>
          <w:divBdr>
            <w:top w:val="none" w:sz="0" w:space="0" w:color="auto"/>
            <w:left w:val="none" w:sz="0" w:space="0" w:color="auto"/>
            <w:bottom w:val="none" w:sz="0" w:space="0" w:color="auto"/>
            <w:right w:val="none" w:sz="0" w:space="0" w:color="auto"/>
          </w:divBdr>
        </w:div>
      </w:divsChild>
    </w:div>
    <w:div w:id="1464734985">
      <w:bodyDiv w:val="1"/>
      <w:marLeft w:val="0"/>
      <w:marRight w:val="0"/>
      <w:marTop w:val="0"/>
      <w:marBottom w:val="0"/>
      <w:divBdr>
        <w:top w:val="none" w:sz="0" w:space="0" w:color="auto"/>
        <w:left w:val="none" w:sz="0" w:space="0" w:color="auto"/>
        <w:bottom w:val="none" w:sz="0" w:space="0" w:color="auto"/>
        <w:right w:val="none" w:sz="0" w:space="0" w:color="auto"/>
      </w:divBdr>
      <w:divsChild>
        <w:div w:id="1423065726">
          <w:marLeft w:val="0"/>
          <w:marRight w:val="0"/>
          <w:marTop w:val="0"/>
          <w:marBottom w:val="0"/>
          <w:divBdr>
            <w:top w:val="none" w:sz="0" w:space="0" w:color="auto"/>
            <w:left w:val="none" w:sz="0" w:space="0" w:color="auto"/>
            <w:bottom w:val="none" w:sz="0" w:space="0" w:color="auto"/>
            <w:right w:val="none" w:sz="0" w:space="0" w:color="auto"/>
          </w:divBdr>
        </w:div>
        <w:div w:id="1718163470">
          <w:marLeft w:val="0"/>
          <w:marRight w:val="0"/>
          <w:marTop w:val="0"/>
          <w:marBottom w:val="0"/>
          <w:divBdr>
            <w:top w:val="none" w:sz="0" w:space="0" w:color="auto"/>
            <w:left w:val="none" w:sz="0" w:space="0" w:color="auto"/>
            <w:bottom w:val="none" w:sz="0" w:space="0" w:color="auto"/>
            <w:right w:val="none" w:sz="0" w:space="0" w:color="auto"/>
          </w:divBdr>
        </w:div>
      </w:divsChild>
    </w:div>
    <w:div w:id="1593391656">
      <w:bodyDiv w:val="1"/>
      <w:marLeft w:val="0"/>
      <w:marRight w:val="0"/>
      <w:marTop w:val="0"/>
      <w:marBottom w:val="0"/>
      <w:divBdr>
        <w:top w:val="none" w:sz="0" w:space="0" w:color="auto"/>
        <w:left w:val="none" w:sz="0" w:space="0" w:color="auto"/>
        <w:bottom w:val="none" w:sz="0" w:space="0" w:color="auto"/>
        <w:right w:val="none" w:sz="0" w:space="0" w:color="auto"/>
      </w:divBdr>
    </w:div>
    <w:div w:id="1843426379">
      <w:bodyDiv w:val="1"/>
      <w:marLeft w:val="0"/>
      <w:marRight w:val="0"/>
      <w:marTop w:val="0"/>
      <w:marBottom w:val="0"/>
      <w:divBdr>
        <w:top w:val="none" w:sz="0" w:space="0" w:color="auto"/>
        <w:left w:val="none" w:sz="0" w:space="0" w:color="auto"/>
        <w:bottom w:val="none" w:sz="0" w:space="0" w:color="auto"/>
        <w:right w:val="none" w:sz="0" w:space="0" w:color="auto"/>
      </w:divBdr>
      <w:divsChild>
        <w:div w:id="1975676418">
          <w:marLeft w:val="0"/>
          <w:marRight w:val="0"/>
          <w:marTop w:val="0"/>
          <w:marBottom w:val="0"/>
          <w:divBdr>
            <w:top w:val="none" w:sz="0" w:space="0" w:color="auto"/>
            <w:left w:val="none" w:sz="0" w:space="0" w:color="auto"/>
            <w:bottom w:val="none" w:sz="0" w:space="0" w:color="auto"/>
            <w:right w:val="none" w:sz="0" w:space="0" w:color="auto"/>
          </w:divBdr>
        </w:div>
        <w:div w:id="1714648876">
          <w:marLeft w:val="0"/>
          <w:marRight w:val="0"/>
          <w:marTop w:val="0"/>
          <w:marBottom w:val="0"/>
          <w:divBdr>
            <w:top w:val="none" w:sz="0" w:space="0" w:color="auto"/>
            <w:left w:val="none" w:sz="0" w:space="0" w:color="auto"/>
            <w:bottom w:val="none" w:sz="0" w:space="0" w:color="auto"/>
            <w:right w:val="none" w:sz="0" w:space="0" w:color="auto"/>
          </w:divBdr>
        </w:div>
      </w:divsChild>
    </w:div>
    <w:div w:id="1892768811">
      <w:bodyDiv w:val="1"/>
      <w:marLeft w:val="0"/>
      <w:marRight w:val="0"/>
      <w:marTop w:val="0"/>
      <w:marBottom w:val="0"/>
      <w:divBdr>
        <w:top w:val="none" w:sz="0" w:space="0" w:color="auto"/>
        <w:left w:val="none" w:sz="0" w:space="0" w:color="auto"/>
        <w:bottom w:val="none" w:sz="0" w:space="0" w:color="auto"/>
        <w:right w:val="none" w:sz="0" w:space="0" w:color="auto"/>
      </w:divBdr>
      <w:divsChild>
        <w:div w:id="294222196">
          <w:marLeft w:val="0"/>
          <w:marRight w:val="0"/>
          <w:marTop w:val="0"/>
          <w:marBottom w:val="0"/>
          <w:divBdr>
            <w:top w:val="none" w:sz="0" w:space="0" w:color="auto"/>
            <w:left w:val="none" w:sz="0" w:space="0" w:color="auto"/>
            <w:bottom w:val="none" w:sz="0" w:space="0" w:color="auto"/>
            <w:right w:val="none" w:sz="0" w:space="0" w:color="auto"/>
          </w:divBdr>
        </w:div>
        <w:div w:id="1930238330">
          <w:marLeft w:val="0"/>
          <w:marRight w:val="0"/>
          <w:marTop w:val="0"/>
          <w:marBottom w:val="0"/>
          <w:divBdr>
            <w:top w:val="none" w:sz="0" w:space="0" w:color="auto"/>
            <w:left w:val="none" w:sz="0" w:space="0" w:color="auto"/>
            <w:bottom w:val="none" w:sz="0" w:space="0" w:color="auto"/>
            <w:right w:val="none" w:sz="0" w:space="0" w:color="auto"/>
          </w:divBdr>
        </w:div>
      </w:divsChild>
    </w:div>
    <w:div w:id="1929582304">
      <w:bodyDiv w:val="1"/>
      <w:marLeft w:val="0"/>
      <w:marRight w:val="0"/>
      <w:marTop w:val="0"/>
      <w:marBottom w:val="0"/>
      <w:divBdr>
        <w:top w:val="none" w:sz="0" w:space="0" w:color="auto"/>
        <w:left w:val="none" w:sz="0" w:space="0" w:color="auto"/>
        <w:bottom w:val="none" w:sz="0" w:space="0" w:color="auto"/>
        <w:right w:val="none" w:sz="0" w:space="0" w:color="auto"/>
      </w:divBdr>
      <w:divsChild>
        <w:div w:id="1073772289">
          <w:marLeft w:val="0"/>
          <w:marRight w:val="0"/>
          <w:marTop w:val="0"/>
          <w:marBottom w:val="0"/>
          <w:divBdr>
            <w:top w:val="none" w:sz="0" w:space="0" w:color="auto"/>
            <w:left w:val="none" w:sz="0" w:space="0" w:color="auto"/>
            <w:bottom w:val="none" w:sz="0" w:space="0" w:color="auto"/>
            <w:right w:val="none" w:sz="0" w:space="0" w:color="auto"/>
          </w:divBdr>
        </w:div>
        <w:div w:id="244151984">
          <w:marLeft w:val="0"/>
          <w:marRight w:val="0"/>
          <w:marTop w:val="0"/>
          <w:marBottom w:val="0"/>
          <w:divBdr>
            <w:top w:val="none" w:sz="0" w:space="0" w:color="auto"/>
            <w:left w:val="none" w:sz="0" w:space="0" w:color="auto"/>
            <w:bottom w:val="none" w:sz="0" w:space="0" w:color="auto"/>
            <w:right w:val="none" w:sz="0" w:space="0" w:color="auto"/>
          </w:divBdr>
        </w:div>
      </w:divsChild>
    </w:div>
    <w:div w:id="1985770299">
      <w:bodyDiv w:val="1"/>
      <w:marLeft w:val="0"/>
      <w:marRight w:val="0"/>
      <w:marTop w:val="0"/>
      <w:marBottom w:val="0"/>
      <w:divBdr>
        <w:top w:val="none" w:sz="0" w:space="0" w:color="auto"/>
        <w:left w:val="none" w:sz="0" w:space="0" w:color="auto"/>
        <w:bottom w:val="none" w:sz="0" w:space="0" w:color="auto"/>
        <w:right w:val="none" w:sz="0" w:space="0" w:color="auto"/>
      </w:divBdr>
      <w:divsChild>
        <w:div w:id="1665743929">
          <w:marLeft w:val="0"/>
          <w:marRight w:val="0"/>
          <w:marTop w:val="0"/>
          <w:marBottom w:val="0"/>
          <w:divBdr>
            <w:top w:val="none" w:sz="0" w:space="0" w:color="auto"/>
            <w:left w:val="none" w:sz="0" w:space="0" w:color="auto"/>
            <w:bottom w:val="none" w:sz="0" w:space="0" w:color="auto"/>
            <w:right w:val="none" w:sz="0" w:space="0" w:color="auto"/>
          </w:divBdr>
        </w:div>
        <w:div w:id="1906604811">
          <w:marLeft w:val="0"/>
          <w:marRight w:val="0"/>
          <w:marTop w:val="0"/>
          <w:marBottom w:val="0"/>
          <w:divBdr>
            <w:top w:val="none" w:sz="0" w:space="0" w:color="auto"/>
            <w:left w:val="none" w:sz="0" w:space="0" w:color="auto"/>
            <w:bottom w:val="none" w:sz="0" w:space="0" w:color="auto"/>
            <w:right w:val="none" w:sz="0" w:space="0" w:color="auto"/>
          </w:divBdr>
        </w:div>
      </w:divsChild>
    </w:div>
    <w:div w:id="2007321071">
      <w:bodyDiv w:val="1"/>
      <w:marLeft w:val="0"/>
      <w:marRight w:val="0"/>
      <w:marTop w:val="0"/>
      <w:marBottom w:val="0"/>
      <w:divBdr>
        <w:top w:val="none" w:sz="0" w:space="0" w:color="auto"/>
        <w:left w:val="none" w:sz="0" w:space="0" w:color="auto"/>
        <w:bottom w:val="none" w:sz="0" w:space="0" w:color="auto"/>
        <w:right w:val="none" w:sz="0" w:space="0" w:color="auto"/>
      </w:divBdr>
      <w:divsChild>
        <w:div w:id="1591114852">
          <w:marLeft w:val="0"/>
          <w:marRight w:val="0"/>
          <w:marTop w:val="0"/>
          <w:marBottom w:val="0"/>
          <w:divBdr>
            <w:top w:val="none" w:sz="0" w:space="0" w:color="auto"/>
            <w:left w:val="none" w:sz="0" w:space="0" w:color="auto"/>
            <w:bottom w:val="none" w:sz="0" w:space="0" w:color="auto"/>
            <w:right w:val="none" w:sz="0" w:space="0" w:color="auto"/>
          </w:divBdr>
        </w:div>
        <w:div w:id="840586184">
          <w:marLeft w:val="0"/>
          <w:marRight w:val="0"/>
          <w:marTop w:val="0"/>
          <w:marBottom w:val="0"/>
          <w:divBdr>
            <w:top w:val="none" w:sz="0" w:space="0" w:color="auto"/>
            <w:left w:val="none" w:sz="0" w:space="0" w:color="auto"/>
            <w:bottom w:val="none" w:sz="0" w:space="0" w:color="auto"/>
            <w:right w:val="none" w:sz="0" w:space="0" w:color="auto"/>
          </w:divBdr>
        </w:div>
        <w:div w:id="1212766284">
          <w:marLeft w:val="0"/>
          <w:marRight w:val="0"/>
          <w:marTop w:val="0"/>
          <w:marBottom w:val="0"/>
          <w:divBdr>
            <w:top w:val="none" w:sz="0" w:space="0" w:color="auto"/>
            <w:left w:val="none" w:sz="0" w:space="0" w:color="auto"/>
            <w:bottom w:val="none" w:sz="0" w:space="0" w:color="auto"/>
            <w:right w:val="none" w:sz="0" w:space="0" w:color="auto"/>
          </w:divBdr>
        </w:div>
      </w:divsChild>
    </w:div>
    <w:div w:id="2033412040">
      <w:bodyDiv w:val="1"/>
      <w:marLeft w:val="0"/>
      <w:marRight w:val="0"/>
      <w:marTop w:val="0"/>
      <w:marBottom w:val="0"/>
      <w:divBdr>
        <w:top w:val="none" w:sz="0" w:space="0" w:color="auto"/>
        <w:left w:val="none" w:sz="0" w:space="0" w:color="auto"/>
        <w:bottom w:val="none" w:sz="0" w:space="0" w:color="auto"/>
        <w:right w:val="none" w:sz="0" w:space="0" w:color="auto"/>
      </w:divBdr>
      <w:divsChild>
        <w:div w:id="856772257">
          <w:marLeft w:val="0"/>
          <w:marRight w:val="0"/>
          <w:marTop w:val="0"/>
          <w:marBottom w:val="0"/>
          <w:divBdr>
            <w:top w:val="none" w:sz="0" w:space="0" w:color="auto"/>
            <w:left w:val="none" w:sz="0" w:space="0" w:color="auto"/>
            <w:bottom w:val="none" w:sz="0" w:space="0" w:color="auto"/>
            <w:right w:val="none" w:sz="0" w:space="0" w:color="auto"/>
          </w:divBdr>
        </w:div>
        <w:div w:id="5426407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Leis/L8883.ht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planalto.gov.br/ccivil_03/Leis/L8883.ht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lanalto.gov.br/ccivil_03/LEIS/L8883.htm"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planalto.gov.br/ccivil_03/Leis/L8883.htm"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TotalTime>
  <Pages>3</Pages>
  <Words>853</Words>
  <Characters>4610</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9</cp:revision>
  <cp:lastPrinted>2022-06-02T16:13:00Z</cp:lastPrinted>
  <dcterms:created xsi:type="dcterms:W3CDTF">2022-06-02T14:07:00Z</dcterms:created>
  <dcterms:modified xsi:type="dcterms:W3CDTF">2022-06-02T16:16:00Z</dcterms:modified>
</cp:coreProperties>
</file>